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media/image1.jpeg" ContentType="image/jpeg"/>
  <Override PartName="/word/media/image2.jpeg" ContentType="image/jpeg"/>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Override PartName="/word/_rels/header1.xml.rels" ContentType="application/vnd.openxmlformats-package.relationships+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lineRule="auto" w:line="259" w:before="0" w:after="139"/>
        <w:ind w:left="0" w:right="76" w:hanging="0"/>
        <w:jc w:val="center"/>
        <w:rPr/>
      </w:pPr>
      <w:r>
        <w:rPr>
          <w:b/>
        </w:rPr>
        <w:t xml:space="preserve">ZAMAWIAJĄCY: </w:t>
      </w:r>
    </w:p>
    <w:p>
      <w:pPr>
        <w:pStyle w:val="Normal"/>
        <w:spacing w:lineRule="auto" w:line="379" w:before="0" w:after="2"/>
        <w:ind w:left="0" w:right="76" w:hanging="0"/>
        <w:jc w:val="center"/>
        <w:rPr/>
      </w:pPr>
      <w:r>
        <w:rPr/>
        <w:t>SPZOZ MOZ w Zielonce</w:t>
      </w:r>
    </w:p>
    <w:p>
      <w:pPr>
        <w:pStyle w:val="Normal"/>
        <w:spacing w:lineRule="auto" w:line="259" w:before="0" w:after="139"/>
        <w:ind w:left="10" w:right="76" w:hanging="10"/>
        <w:jc w:val="center"/>
        <w:rPr/>
      </w:pPr>
      <w:r>
        <w:rPr/>
        <w:t>ul. Mickiewicza 18, 05-220 Zielonka</w:t>
      </w:r>
    </w:p>
    <w:p>
      <w:pPr>
        <w:pStyle w:val="Normal"/>
        <w:spacing w:lineRule="auto" w:line="259" w:before="0" w:after="139"/>
        <w:ind w:left="10" w:right="76" w:hanging="10"/>
        <w:jc w:val="center"/>
        <w:rPr/>
      </w:pPr>
      <w:r>
        <w:rPr/>
        <w:t>NIP 1251041592    REGON 016180722</w:t>
      </w:r>
    </w:p>
    <w:p>
      <w:pPr>
        <w:pStyle w:val="Normal"/>
        <w:spacing w:lineRule="auto" w:line="259" w:before="0" w:after="136"/>
        <w:ind w:left="0" w:right="76" w:hanging="0"/>
        <w:jc w:val="center"/>
        <w:rPr/>
      </w:pPr>
      <w:r>
        <w:rPr/>
      </w:r>
    </w:p>
    <w:p>
      <w:pPr>
        <w:pStyle w:val="Normal"/>
        <w:spacing w:lineRule="auto" w:line="259" w:before="0" w:after="139"/>
        <w:ind w:left="0" w:right="76" w:hanging="0"/>
        <w:jc w:val="center"/>
        <w:rPr/>
      </w:pPr>
      <w:r>
        <w:rPr>
          <w:b/>
        </w:rPr>
        <w:t xml:space="preserve">Nr sprawy: SPZOZ MOZ 3/271.2/2020 </w:t>
      </w:r>
    </w:p>
    <w:p>
      <w:pPr>
        <w:pStyle w:val="Normal"/>
        <w:spacing w:lineRule="auto" w:line="259" w:before="0" w:after="312"/>
        <w:ind w:left="12" w:right="76" w:hanging="0"/>
        <w:jc w:val="left"/>
        <w:rPr/>
      </w:pPr>
      <w:r>
        <w:rPr>
          <w:b/>
        </w:rPr>
        <w:t xml:space="preserve"> </w:t>
      </w:r>
    </w:p>
    <w:p>
      <w:pPr>
        <w:pStyle w:val="Normal"/>
        <w:spacing w:lineRule="auto" w:line="259" w:before="0" w:after="0"/>
        <w:ind w:left="17" w:right="76" w:hanging="0"/>
        <w:jc w:val="center"/>
        <w:rPr/>
      </w:pPr>
      <w:r>
        <w:rPr>
          <w:b/>
          <w:sz w:val="40"/>
        </w:rPr>
        <w:t>SPECYFIKACJA ISTOTNYCH WARUNKÓW ZAMÓWIENIA</w:t>
      </w:r>
    </w:p>
    <w:p>
      <w:pPr>
        <w:pStyle w:val="Normal"/>
        <w:spacing w:lineRule="auto" w:line="259" w:before="0" w:after="136"/>
        <w:ind w:left="0" w:right="76" w:hanging="0"/>
        <w:jc w:val="center"/>
        <w:rPr/>
      </w:pPr>
      <w:r>
        <w:rPr>
          <w:b/>
        </w:rPr>
        <w:t xml:space="preserve"> </w:t>
      </w:r>
    </w:p>
    <w:p>
      <w:pPr>
        <w:pStyle w:val="Normal"/>
        <w:spacing w:before="0" w:after="133"/>
        <w:ind w:left="1438" w:right="76" w:hanging="10"/>
        <w:rPr/>
      </w:pPr>
      <w:r>
        <w:rPr/>
        <w:t xml:space="preserve">w postępowaniu o udzielenie zamówienia publicznego prowadzonego  </w:t>
      </w:r>
    </w:p>
    <w:p>
      <w:pPr>
        <w:pStyle w:val="Normal"/>
        <w:spacing w:lineRule="auto" w:line="259" w:before="0" w:after="139"/>
        <w:ind w:left="10" w:right="76" w:hanging="10"/>
        <w:jc w:val="center"/>
        <w:rPr/>
      </w:pPr>
      <w:r>
        <w:rPr/>
        <w:t xml:space="preserve">w trybie przetargu nieograniczonego </w:t>
      </w:r>
    </w:p>
    <w:p>
      <w:pPr>
        <w:pStyle w:val="Normal"/>
        <w:spacing w:lineRule="auto" w:line="259" w:before="0" w:after="136"/>
        <w:ind w:left="0" w:right="76" w:hanging="0"/>
        <w:jc w:val="center"/>
        <w:rPr/>
      </w:pPr>
      <w:r>
        <w:rPr>
          <w:i/>
        </w:rPr>
        <w:t xml:space="preserve"> </w:t>
      </w:r>
    </w:p>
    <w:p>
      <w:pPr>
        <w:pStyle w:val="Normal"/>
        <w:spacing w:lineRule="auto" w:line="259" w:before="0" w:after="183"/>
        <w:ind w:left="0" w:right="76" w:hanging="0"/>
        <w:jc w:val="center"/>
        <w:rPr/>
      </w:pPr>
      <w:r>
        <w:rPr>
          <w:i/>
        </w:rPr>
        <w:t xml:space="preserve">Ustawa z dnia 29 stycznia 2004 r. </w:t>
      </w:r>
    </w:p>
    <w:p>
      <w:pPr>
        <w:pStyle w:val="Normal"/>
        <w:spacing w:lineRule="auto" w:line="247" w:before="0" w:after="296"/>
        <w:ind w:left="0" w:right="76" w:hanging="0"/>
        <w:jc w:val="center"/>
        <w:rPr/>
      </w:pPr>
      <w:r>
        <w:rPr>
          <w:i/>
        </w:rPr>
        <w:t>Prawo zamówień publicznych (t.j. Dz. U. z 2019 r. poz. 1843)</w:t>
      </w:r>
    </w:p>
    <w:p>
      <w:pPr>
        <w:pStyle w:val="Normal"/>
        <w:spacing w:lineRule="auto" w:line="259" w:before="0" w:after="232"/>
        <w:ind w:left="12" w:right="76" w:hanging="0"/>
        <w:jc w:val="left"/>
        <w:rPr/>
      </w:pPr>
      <w:r>
        <w:rPr>
          <w:b/>
          <w:sz w:val="40"/>
        </w:rPr>
        <w:t xml:space="preserve"> </w:t>
      </w:r>
    </w:p>
    <w:p>
      <w:pPr>
        <w:pStyle w:val="Normal"/>
        <w:spacing w:lineRule="auto" w:line="259" w:before="0" w:after="480"/>
        <w:ind w:left="0" w:right="76" w:hanging="0"/>
        <w:jc w:val="center"/>
        <w:rPr/>
      </w:pPr>
      <w:r>
        <w:rPr/>
        <w:t xml:space="preserve">Przedmiot zamówienia: </w:t>
      </w:r>
    </w:p>
    <w:p>
      <w:pPr>
        <w:pStyle w:val="Normal"/>
        <w:spacing w:lineRule="auto" w:line="259" w:before="0" w:after="83"/>
        <w:ind w:left="12" w:right="76" w:hanging="0"/>
        <w:jc w:val="center"/>
        <w:rPr/>
      </w:pPr>
      <w:r>
        <w:rPr>
          <w:b/>
          <w:i/>
          <w:color w:val="2E74B5"/>
          <w:sz w:val="28"/>
        </w:rPr>
        <w:t>Zakup sprzętu komputerowego z oprogramowaniem dla uruchomienia e-usług w SPZOZ MOZ w Zielonce  w ramach projektu „Uruchomienie e-usług w SPZOZ-MOZ w Zielonce”</w:t>
      </w:r>
    </w:p>
    <w:p>
      <w:pPr>
        <w:pStyle w:val="Normal"/>
        <w:spacing w:lineRule="auto" w:line="259" w:before="0" w:after="218"/>
        <w:ind w:left="12" w:right="76" w:hanging="0"/>
        <w:jc w:val="left"/>
        <w:rPr/>
      </w:pPr>
      <w:r>
        <w:rPr/>
        <w:t xml:space="preserve"> </w:t>
      </w:r>
    </w:p>
    <w:p>
      <w:pPr>
        <w:pStyle w:val="Podstawowyakapitowy"/>
        <w:spacing w:lineRule="auto" w:line="240"/>
        <w:ind w:left="7080" w:right="-1" w:hanging="0"/>
        <w:rPr>
          <w:rFonts w:ascii="Lato" w:hAnsi="Lato" w:cs="Lato-Regular"/>
          <w:sz w:val="20"/>
          <w:szCs w:val="20"/>
        </w:rPr>
      </w:pPr>
      <w:r>
        <w:rPr>
          <w:rFonts w:cs="Lato-Regular" w:ascii="Lato" w:hAnsi="Lato"/>
          <w:sz w:val="22"/>
          <w:szCs w:val="22"/>
        </w:rPr>
        <w:t xml:space="preserve"> </w:t>
      </w:r>
      <w:r>
        <w:rPr>
          <w:rFonts w:cs="Lato-Regular" w:ascii="Lato" w:hAnsi="Lato"/>
          <w:sz w:val="20"/>
          <w:szCs w:val="20"/>
        </w:rPr>
        <w:t>Zatwierdził:</w:t>
      </w:r>
    </w:p>
    <w:p>
      <w:pPr>
        <w:pStyle w:val="Podstawowyakapitowy"/>
        <w:spacing w:lineRule="auto" w:line="240"/>
        <w:ind w:left="5664" w:right="-1" w:firstLine="708"/>
        <w:rPr>
          <w:rFonts w:ascii="Lato" w:hAnsi="Lato" w:cs="Lato-Regular"/>
        </w:rPr>
      </w:pPr>
      <w:r>
        <w:rPr>
          <w:rFonts w:cs="Lato-Regular" w:ascii="Lato" w:hAnsi="Lato"/>
        </w:rPr>
        <w:t>(-) Krystyna Rusianiak</w:t>
      </w:r>
    </w:p>
    <w:p>
      <w:pPr>
        <w:pStyle w:val="Normal"/>
        <w:spacing w:lineRule="auto" w:line="259" w:before="0" w:after="218"/>
        <w:ind w:left="3248" w:right="76" w:hanging="10"/>
        <w:jc w:val="left"/>
        <w:rPr/>
      </w:pPr>
      <w:r>
        <w:rPr>
          <w:rFonts w:cs="Lato-Regular" w:ascii="Lato" w:hAnsi="Lato"/>
        </w:rPr>
        <w:t xml:space="preserve">                                          </w:t>
      </w:r>
      <w:r>
        <w:rPr>
          <w:rFonts w:cs="Lato-Regular" w:ascii="Lato" w:hAnsi="Lato"/>
        </w:rPr>
        <w:t>Dyrektor SPZOZ MOZ w Zielonce</w:t>
        <w:br/>
      </w:r>
      <w:r>
        <w:rPr/>
        <w:t xml:space="preserve"> </w:t>
      </w:r>
    </w:p>
    <w:p>
      <w:pPr>
        <w:pStyle w:val="Normal"/>
        <w:spacing w:lineRule="auto" w:line="259" w:before="0" w:after="218"/>
        <w:ind w:left="10" w:right="76" w:hanging="10"/>
        <w:jc w:val="center"/>
        <w:rPr/>
      </w:pPr>
      <w:r>
        <w:rPr/>
      </w:r>
    </w:p>
    <w:p>
      <w:pPr>
        <w:pStyle w:val="Normal"/>
        <w:spacing w:lineRule="auto" w:line="259" w:before="0" w:after="218"/>
        <w:ind w:left="10" w:right="76" w:hanging="10"/>
        <w:jc w:val="center"/>
        <w:rPr/>
      </w:pPr>
      <w:r>
        <w:rPr/>
      </w:r>
    </w:p>
    <w:p>
      <w:pPr>
        <w:pStyle w:val="Normal"/>
        <w:spacing w:lineRule="auto" w:line="259" w:before="0" w:after="218"/>
        <w:ind w:left="10" w:right="76" w:hanging="10"/>
        <w:jc w:val="center"/>
        <w:rPr/>
      </w:pPr>
      <w:r>
        <w:rPr/>
      </w:r>
    </w:p>
    <w:p>
      <w:pPr>
        <w:pStyle w:val="Normal"/>
        <w:spacing w:lineRule="auto" w:line="259" w:before="0" w:after="218"/>
        <w:ind w:left="10" w:right="76" w:hanging="10"/>
        <w:jc w:val="center"/>
        <w:rPr/>
      </w:pPr>
      <w:r>
        <w:rPr/>
      </w:r>
    </w:p>
    <w:p>
      <w:pPr>
        <w:pStyle w:val="Normal"/>
        <w:spacing w:lineRule="auto" w:line="259" w:before="0" w:after="218"/>
        <w:ind w:left="10" w:right="76" w:hanging="10"/>
        <w:jc w:val="center"/>
        <w:rPr/>
      </w:pPr>
      <w:r>
        <w:rPr/>
        <w:t xml:space="preserve">Zielonka, lipiec 2020 r. </w:t>
      </w:r>
    </w:p>
    <w:p>
      <w:pPr>
        <w:pStyle w:val="Normal"/>
        <w:spacing w:lineRule="auto" w:line="259" w:before="0" w:after="0"/>
        <w:ind w:left="12" w:right="76" w:hanging="0"/>
        <w:jc w:val="left"/>
        <w:rPr/>
      </w:pPr>
      <w:r>
        <w:rPr/>
      </w:r>
    </w:p>
    <w:p>
      <w:pPr>
        <w:pStyle w:val="Normal"/>
        <w:spacing w:lineRule="auto" w:line="259" w:before="0" w:after="0"/>
        <w:ind w:left="12" w:right="76" w:hanging="0"/>
        <w:jc w:val="left"/>
        <w:rPr/>
      </w:pPr>
      <w:r>
        <w:rPr/>
        <w:t xml:space="preserve">Tryb postępowania:   </w:t>
      </w:r>
    </w:p>
    <w:p>
      <w:pPr>
        <w:pStyle w:val="Normal"/>
        <w:spacing w:lineRule="auto" w:line="259" w:before="0" w:after="0"/>
        <w:ind w:left="12" w:right="76" w:hanging="0"/>
        <w:jc w:val="left"/>
        <w:rPr/>
      </w:pPr>
      <w:r>
        <w:rPr/>
      </w:r>
    </w:p>
    <w:p>
      <w:pPr>
        <w:pStyle w:val="Normal"/>
        <w:spacing w:lineRule="auto" w:line="264" w:before="0" w:after="207"/>
        <w:ind w:left="7" w:right="76" w:hanging="10"/>
        <w:rPr/>
      </w:pPr>
      <w:r>
        <w:rPr>
          <w:b/>
        </w:rPr>
        <w:t xml:space="preserve">Przetarg nieograniczony o udzielenie zamówienia publicznego o wartości zamówienia  przekraczającej kwotę określoną w przepisach wydanych na podstawie art. 11 ust. 8 ustawy z dnia 29 stycznia 2004 r. Prawo zamówień publicznych. </w:t>
      </w:r>
    </w:p>
    <w:p>
      <w:pPr>
        <w:pStyle w:val="Normal"/>
        <w:spacing w:lineRule="auto" w:line="264" w:before="0" w:after="210"/>
        <w:ind w:left="7" w:right="76" w:hanging="10"/>
        <w:rPr/>
      </w:pPr>
      <w:r>
        <w:rPr/>
        <w:t xml:space="preserve">Podstawa prawna:   </w:t>
      </w:r>
    </w:p>
    <w:p>
      <w:pPr>
        <w:pStyle w:val="Normal"/>
        <w:spacing w:lineRule="auto" w:line="264" w:before="0" w:after="208"/>
        <w:ind w:left="7" w:right="76" w:hanging="10"/>
        <w:jc w:val="left"/>
        <w:rPr/>
      </w:pPr>
      <w:r>
        <w:rPr>
          <w:b/>
        </w:rPr>
        <w:t xml:space="preserve">Art. 10 oraz Art. 39-46 USTAWY Z DNIA 29 STYCZNIA 2004 r. – PRAWO ZAMÓWIEŃ PUBLICZNYCH (t.j. Dz. U. z 2019 r. poz. 1843)  </w:t>
      </w:r>
    </w:p>
    <w:p>
      <w:pPr>
        <w:pStyle w:val="Normal"/>
        <w:spacing w:before="0" w:after="228"/>
        <w:ind w:left="7" w:right="76" w:hanging="10"/>
        <w:rPr/>
      </w:pPr>
      <w:r>
        <w:rPr/>
        <w:t xml:space="preserve">Wspólny słownik zamówień publicznych: </w:t>
      </w:r>
    </w:p>
    <w:p>
      <w:pPr>
        <w:pStyle w:val="Normal"/>
        <w:spacing w:lineRule="auto" w:line="264" w:before="0" w:after="0"/>
        <w:ind w:left="7" w:right="74" w:hanging="10"/>
        <w:jc w:val="left"/>
        <w:rPr>
          <w:b/>
          <w:b/>
        </w:rPr>
      </w:pPr>
      <w:r>
        <w:rPr>
          <w:b/>
          <w:color w:val="auto"/>
          <w:sz w:val="20"/>
        </w:rPr>
        <w:t xml:space="preserve">Kod CPV:               </w:t>
      </w:r>
      <w:r>
        <w:rPr>
          <w:b/>
        </w:rPr>
        <w:t xml:space="preserve">48000000-8 Pakiety oprogramowania i systemy informatyczne </w:t>
      </w:r>
    </w:p>
    <w:p>
      <w:pPr>
        <w:pStyle w:val="Normal"/>
        <w:spacing w:lineRule="auto" w:line="264" w:before="0" w:after="0"/>
        <w:ind w:left="7" w:right="74" w:hanging="10"/>
        <w:jc w:val="left"/>
        <w:rPr>
          <w:b/>
          <w:b/>
        </w:rPr>
      </w:pPr>
      <w:r>
        <w:rPr>
          <w:b/>
        </w:rPr>
        <w:tab/>
        <w:tab/>
        <w:tab/>
        <w:t xml:space="preserve">72263000-6 Usługi wdrażania oprogramowania </w:t>
      </w:r>
    </w:p>
    <w:p>
      <w:pPr>
        <w:pStyle w:val="Normal"/>
        <w:spacing w:lineRule="auto" w:line="264" w:before="0" w:after="0"/>
        <w:ind w:left="7" w:right="74" w:hanging="10"/>
        <w:jc w:val="left"/>
        <w:rPr>
          <w:b/>
          <w:b/>
        </w:rPr>
      </w:pPr>
      <w:r>
        <w:rPr>
          <w:b/>
        </w:rPr>
        <w:tab/>
        <w:tab/>
        <w:tab/>
        <w:t xml:space="preserve">72268000-1 Usługi dostawy oprogramowania </w:t>
      </w:r>
    </w:p>
    <w:p>
      <w:pPr>
        <w:pStyle w:val="Normal"/>
        <w:spacing w:lineRule="auto" w:line="264" w:before="0" w:after="0"/>
        <w:ind w:left="7" w:right="74" w:hanging="10"/>
        <w:jc w:val="left"/>
        <w:rPr>
          <w:b/>
          <w:b/>
        </w:rPr>
      </w:pPr>
      <w:r>
        <w:rPr>
          <w:b/>
        </w:rPr>
        <w:tab/>
        <w:tab/>
        <w:tab/>
        <w:t xml:space="preserve">48820000-2 Serwery </w:t>
      </w:r>
    </w:p>
    <w:p>
      <w:pPr>
        <w:pStyle w:val="Normal"/>
        <w:spacing w:lineRule="auto" w:line="264" w:before="0" w:after="0"/>
        <w:ind w:left="7" w:right="74" w:hanging="10"/>
        <w:jc w:val="left"/>
        <w:rPr>
          <w:b/>
          <w:b/>
        </w:rPr>
      </w:pPr>
      <w:r>
        <w:rPr>
          <w:b/>
        </w:rPr>
        <w:tab/>
        <w:tab/>
        <w:tab/>
        <w:t>30213000-5 Komputery osobiste</w:t>
      </w:r>
    </w:p>
    <w:p>
      <w:pPr>
        <w:pStyle w:val="Normal"/>
        <w:spacing w:lineRule="auto" w:line="264" w:before="0" w:after="0"/>
        <w:ind w:left="7" w:right="74" w:hanging="10"/>
        <w:jc w:val="left"/>
        <w:rPr>
          <w:b/>
          <w:b/>
        </w:rPr>
      </w:pPr>
      <w:r>
        <w:rPr>
          <w:b/>
        </w:rPr>
        <w:tab/>
        <w:tab/>
        <w:tab/>
        <w:t>30213100-6 Komputery przenośne</w:t>
      </w:r>
    </w:p>
    <w:p>
      <w:pPr>
        <w:pStyle w:val="Normal"/>
        <w:spacing w:lineRule="auto" w:line="264" w:before="0" w:after="0"/>
        <w:ind w:left="7" w:right="74" w:hanging="10"/>
        <w:jc w:val="left"/>
        <w:rPr>
          <w:b/>
          <w:b/>
        </w:rPr>
      </w:pPr>
      <w:r>
        <w:rPr>
          <w:b/>
        </w:rPr>
        <w:tab/>
        <w:tab/>
        <w:tab/>
        <w:t xml:space="preserve">30233000-1 Urządzenia do przechowywania odczytu danych </w:t>
      </w:r>
    </w:p>
    <w:p>
      <w:pPr>
        <w:pStyle w:val="Normal"/>
        <w:spacing w:lineRule="auto" w:line="264" w:before="0" w:after="0"/>
        <w:ind w:left="715" w:right="74" w:firstLine="701"/>
        <w:jc w:val="left"/>
        <w:rPr/>
      </w:pPr>
      <w:r>
        <w:rPr>
          <w:b/>
        </w:rPr>
        <w:t>30232000-4 Sprzęt peryferyjny</w:t>
        <w:tab/>
        <w:t xml:space="preserve"> </w:t>
        <w:tab/>
        <w:t xml:space="preserve"> </w:t>
      </w:r>
    </w:p>
    <w:p>
      <w:pPr>
        <w:pStyle w:val="Normal"/>
        <w:spacing w:lineRule="auto" w:line="259" w:before="0" w:after="0"/>
        <w:ind w:left="12" w:right="76" w:hanging="0"/>
        <w:jc w:val="left"/>
        <w:rPr/>
      </w:pPr>
      <w:r>
        <w:rPr>
          <w:color w:val="FF0000"/>
        </w:rPr>
        <w:t xml:space="preserve"> </w:t>
      </w:r>
    </w:p>
    <w:p>
      <w:pPr>
        <w:pStyle w:val="Normal"/>
        <w:ind w:left="7" w:right="76" w:hanging="10"/>
        <w:rPr/>
      </w:pPr>
      <w:r>
        <w:rPr/>
        <w:t xml:space="preserve">Informacja o przetargu została umieszczona: </w:t>
      </w:r>
    </w:p>
    <w:p>
      <w:pPr>
        <w:pStyle w:val="Normal"/>
        <w:numPr>
          <w:ilvl w:val="0"/>
          <w:numId w:val="2"/>
        </w:numPr>
        <w:spacing w:lineRule="auto" w:line="264" w:before="0" w:after="4"/>
        <w:ind w:left="732" w:right="76" w:hanging="360"/>
        <w:jc w:val="left"/>
        <w:rPr/>
      </w:pPr>
      <w:r>
        <w:rPr>
          <w:b/>
        </w:rPr>
        <w:t>W Dzienniku Urzędowym Unii Europejskiej, pod numerem</w:t>
      </w:r>
      <w:r>
        <w:rPr/>
        <w:t xml:space="preserve">: </w:t>
      </w:r>
      <w:r>
        <w:rPr>
          <w:b/>
        </w:rPr>
        <w:t>2020/S 150-367313</w:t>
      </w:r>
    </w:p>
    <w:p>
      <w:pPr>
        <w:pStyle w:val="Normal"/>
        <w:numPr>
          <w:ilvl w:val="0"/>
          <w:numId w:val="2"/>
        </w:numPr>
        <w:spacing w:lineRule="auto" w:line="264" w:before="0" w:after="5"/>
        <w:ind w:left="732" w:right="76" w:hanging="360"/>
        <w:jc w:val="left"/>
        <w:rPr/>
      </w:pPr>
      <w:r>
        <w:rPr>
          <w:b/>
        </w:rPr>
        <w:t>Na elektronicznej platformie zakupowej:</w:t>
      </w:r>
      <w:r>
        <w:rPr>
          <w:lang w:bidi="pl-PL"/>
        </w:rPr>
        <w:t xml:space="preserve"> </w:t>
      </w:r>
      <w:hyperlink r:id="rId2">
        <w:r>
          <w:rPr>
            <w:rStyle w:val="Czeinternetowe"/>
          </w:rPr>
          <w:t>https://spzoz-zielonka.ezamawiajacy.pl</w:t>
        </w:r>
      </w:hyperlink>
    </w:p>
    <w:p>
      <w:pPr>
        <w:pStyle w:val="Normal"/>
        <w:numPr>
          <w:ilvl w:val="0"/>
          <w:numId w:val="2"/>
        </w:numPr>
        <w:spacing w:lineRule="auto" w:line="264" w:before="0" w:after="5"/>
        <w:ind w:left="732" w:right="76" w:hanging="360"/>
        <w:jc w:val="left"/>
        <w:rPr/>
      </w:pPr>
      <w:r>
        <w:rPr>
          <w:b/>
        </w:rPr>
        <w:t xml:space="preserve">Na stronie internetowej: </w:t>
      </w:r>
      <w:hyperlink r:id="rId3">
        <w:r>
          <w:rPr>
            <w:rStyle w:val="Czeinternetowe"/>
          </w:rPr>
          <w:t>http://spzozzielonka.bip.eur.pl/</w:t>
        </w:r>
      </w:hyperlink>
      <w:r>
        <w:rPr/>
        <w:t xml:space="preserve"> </w:t>
      </w:r>
    </w:p>
    <w:p>
      <w:pPr>
        <w:pStyle w:val="Normal"/>
        <w:numPr>
          <w:ilvl w:val="0"/>
          <w:numId w:val="2"/>
        </w:numPr>
        <w:spacing w:lineRule="auto" w:line="264" w:before="0" w:after="4"/>
        <w:ind w:left="732" w:right="76" w:hanging="360"/>
        <w:jc w:val="left"/>
        <w:rPr/>
      </w:pPr>
      <w:r>
        <w:rPr>
          <w:b/>
        </w:rPr>
        <w:t>Na tablicy ogłoszeń w SPZOZ MOZ w Zielonce</w:t>
      </w:r>
    </w:p>
    <w:p>
      <w:pPr>
        <w:pStyle w:val="Normal"/>
        <w:spacing w:lineRule="auto" w:line="259" w:before="0" w:after="237"/>
        <w:ind w:left="0" w:right="76" w:hanging="0"/>
        <w:jc w:val="center"/>
        <w:rPr/>
      </w:pPr>
      <w:r>
        <w:rPr>
          <w:b/>
          <w:sz w:val="24"/>
        </w:rPr>
        <w:t xml:space="preserve"> </w:t>
      </w:r>
    </w:p>
    <w:p>
      <w:pPr>
        <w:pStyle w:val="Normal"/>
        <w:spacing w:lineRule="auto" w:line="259" w:before="0" w:after="0"/>
        <w:ind w:left="732" w:right="76" w:hanging="0"/>
        <w:jc w:val="left"/>
        <w:rPr>
          <w:b/>
          <w:b/>
          <w:sz w:val="24"/>
        </w:rPr>
      </w:pPr>
      <w:r>
        <w:rPr>
          <w:b/>
          <w:sz w:val="24"/>
        </w:rPr>
      </w:r>
    </w:p>
    <w:p>
      <w:pPr>
        <w:pStyle w:val="Normal"/>
        <w:spacing w:lineRule="auto" w:line="259" w:before="0" w:after="0"/>
        <w:ind w:left="12" w:right="76" w:hanging="0"/>
        <w:jc w:val="left"/>
        <w:rPr>
          <w:b/>
          <w:b/>
          <w:sz w:val="24"/>
        </w:rPr>
      </w:pPr>
      <w:r>
        <w:rPr>
          <w:b/>
          <w:sz w:val="24"/>
        </w:rPr>
      </w:r>
    </w:p>
    <w:p>
      <w:pPr>
        <w:pStyle w:val="Normal"/>
        <w:spacing w:lineRule="auto" w:line="259" w:before="0" w:after="0"/>
        <w:ind w:left="12" w:right="76" w:hanging="0"/>
        <w:jc w:val="left"/>
        <w:rPr>
          <w:b/>
          <w:b/>
          <w:sz w:val="24"/>
        </w:rPr>
      </w:pPr>
      <w:r>
        <w:rPr>
          <w:b/>
          <w:sz w:val="24"/>
        </w:rPr>
      </w:r>
    </w:p>
    <w:p>
      <w:pPr>
        <w:pStyle w:val="Normal"/>
        <w:spacing w:lineRule="auto" w:line="259" w:before="0" w:after="0"/>
        <w:ind w:left="12" w:right="76" w:hanging="0"/>
        <w:jc w:val="left"/>
        <w:rPr>
          <w:b/>
          <w:b/>
          <w:sz w:val="24"/>
        </w:rPr>
      </w:pPr>
      <w:r>
        <w:rPr>
          <w:b/>
          <w:sz w:val="24"/>
        </w:rPr>
      </w:r>
    </w:p>
    <w:p>
      <w:pPr>
        <w:pStyle w:val="Normal"/>
        <w:spacing w:lineRule="auto" w:line="259" w:before="0" w:after="0"/>
        <w:ind w:left="12" w:right="76" w:hanging="0"/>
        <w:jc w:val="left"/>
        <w:rPr>
          <w:b/>
          <w:b/>
          <w:sz w:val="24"/>
        </w:rPr>
      </w:pPr>
      <w:r>
        <w:rPr>
          <w:b/>
          <w:sz w:val="24"/>
        </w:rPr>
      </w:r>
    </w:p>
    <w:p>
      <w:pPr>
        <w:pStyle w:val="Normal"/>
        <w:spacing w:lineRule="auto" w:line="259" w:before="0" w:after="0"/>
        <w:ind w:left="12" w:right="76" w:hanging="0"/>
        <w:jc w:val="left"/>
        <w:rPr>
          <w:b/>
          <w:b/>
          <w:sz w:val="24"/>
        </w:rPr>
      </w:pPr>
      <w:r>
        <w:rPr>
          <w:b/>
          <w:sz w:val="24"/>
        </w:rPr>
      </w:r>
    </w:p>
    <w:p>
      <w:pPr>
        <w:pStyle w:val="Normal"/>
        <w:spacing w:lineRule="auto" w:line="259" w:before="0" w:after="0"/>
        <w:ind w:left="12" w:right="76" w:hanging="0"/>
        <w:jc w:val="left"/>
        <w:rPr>
          <w:b/>
          <w:b/>
          <w:sz w:val="24"/>
        </w:rPr>
      </w:pPr>
      <w:r>
        <w:rPr>
          <w:b/>
          <w:sz w:val="24"/>
        </w:rPr>
      </w:r>
    </w:p>
    <w:p>
      <w:pPr>
        <w:pStyle w:val="Normal"/>
        <w:spacing w:lineRule="auto" w:line="259" w:before="0" w:after="0"/>
        <w:ind w:left="12" w:right="76" w:hanging="0"/>
        <w:jc w:val="left"/>
        <w:rPr>
          <w:b/>
          <w:b/>
          <w:sz w:val="24"/>
        </w:rPr>
      </w:pPr>
      <w:r>
        <w:rPr>
          <w:b/>
          <w:sz w:val="24"/>
        </w:rPr>
      </w:r>
    </w:p>
    <w:p>
      <w:pPr>
        <w:pStyle w:val="Normal"/>
        <w:spacing w:lineRule="auto" w:line="259" w:before="0" w:after="0"/>
        <w:ind w:left="12" w:right="76" w:hanging="0"/>
        <w:jc w:val="left"/>
        <w:rPr>
          <w:b/>
          <w:b/>
          <w:sz w:val="24"/>
        </w:rPr>
      </w:pPr>
      <w:r>
        <w:rPr>
          <w:b/>
          <w:sz w:val="24"/>
        </w:rPr>
      </w:r>
    </w:p>
    <w:p>
      <w:pPr>
        <w:pStyle w:val="Normal"/>
        <w:spacing w:lineRule="auto" w:line="259" w:before="0" w:after="0"/>
        <w:ind w:left="12" w:right="76" w:hanging="0"/>
        <w:jc w:val="left"/>
        <w:rPr>
          <w:b/>
          <w:b/>
          <w:sz w:val="24"/>
        </w:rPr>
      </w:pPr>
      <w:r>
        <w:rPr>
          <w:b/>
          <w:sz w:val="24"/>
        </w:rPr>
      </w:r>
    </w:p>
    <w:p>
      <w:pPr>
        <w:pStyle w:val="Normal"/>
        <w:spacing w:lineRule="auto" w:line="259" w:before="0" w:after="0"/>
        <w:ind w:left="12" w:right="76" w:hanging="0"/>
        <w:jc w:val="left"/>
        <w:rPr>
          <w:b/>
          <w:b/>
          <w:sz w:val="24"/>
        </w:rPr>
      </w:pPr>
      <w:r>
        <w:rPr>
          <w:b/>
          <w:sz w:val="24"/>
        </w:rPr>
      </w:r>
    </w:p>
    <w:p>
      <w:pPr>
        <w:pStyle w:val="Normal"/>
        <w:spacing w:lineRule="auto" w:line="259" w:before="0" w:after="0"/>
        <w:ind w:left="12" w:right="76" w:hanging="0"/>
        <w:jc w:val="left"/>
        <w:rPr>
          <w:b/>
          <w:b/>
          <w:sz w:val="24"/>
        </w:rPr>
      </w:pPr>
      <w:r>
        <w:rPr>
          <w:b/>
          <w:sz w:val="24"/>
        </w:rPr>
      </w:r>
    </w:p>
    <w:p>
      <w:pPr>
        <w:pStyle w:val="Normal"/>
        <w:spacing w:lineRule="auto" w:line="259" w:before="0" w:after="0"/>
        <w:ind w:left="0" w:right="76" w:hanging="0"/>
        <w:jc w:val="left"/>
        <w:rPr>
          <w:b/>
          <w:b/>
          <w:sz w:val="24"/>
        </w:rPr>
      </w:pPr>
      <w:r>
        <w:rPr>
          <w:b/>
          <w:sz w:val="24"/>
        </w:rPr>
      </w:r>
    </w:p>
    <w:p>
      <w:pPr>
        <w:pStyle w:val="Normal"/>
        <w:spacing w:lineRule="auto" w:line="259" w:before="0" w:after="0"/>
        <w:ind w:left="12" w:right="76" w:hanging="0"/>
        <w:jc w:val="left"/>
        <w:rPr>
          <w:b/>
          <w:b/>
          <w:sz w:val="24"/>
        </w:rPr>
      </w:pPr>
      <w:r>
        <w:rPr>
          <w:b/>
          <w:sz w:val="24"/>
        </w:rPr>
      </w:r>
    </w:p>
    <w:p>
      <w:pPr>
        <w:pStyle w:val="Normal"/>
        <w:spacing w:lineRule="auto" w:line="259" w:before="0" w:after="0"/>
        <w:ind w:left="12" w:right="76" w:hanging="0"/>
        <w:jc w:val="left"/>
        <w:rPr>
          <w:b/>
          <w:b/>
          <w:sz w:val="24"/>
        </w:rPr>
      </w:pPr>
      <w:r>
        <w:rPr>
          <w:b/>
          <w:sz w:val="24"/>
        </w:rPr>
      </w:r>
    </w:p>
    <w:p>
      <w:pPr>
        <w:pStyle w:val="Normal"/>
        <w:spacing w:lineRule="auto" w:line="259" w:before="0" w:after="0"/>
        <w:ind w:left="12" w:right="76" w:hanging="0"/>
        <w:jc w:val="left"/>
        <w:rPr>
          <w:b/>
          <w:b/>
          <w:sz w:val="24"/>
        </w:rPr>
      </w:pPr>
      <w:r>
        <w:rPr>
          <w:b/>
          <w:sz w:val="24"/>
        </w:rPr>
      </w:r>
    </w:p>
    <w:p>
      <w:pPr>
        <w:pStyle w:val="Normal"/>
        <w:spacing w:lineRule="auto" w:line="259" w:before="0" w:after="0"/>
        <w:ind w:left="12" w:right="76" w:hanging="0"/>
        <w:jc w:val="left"/>
        <w:rPr>
          <w:b/>
          <w:b/>
          <w:sz w:val="24"/>
        </w:rPr>
      </w:pPr>
      <w:r>
        <w:rPr>
          <w:b/>
          <w:sz w:val="24"/>
        </w:rPr>
      </w:r>
    </w:p>
    <w:p>
      <w:pPr>
        <w:pStyle w:val="Normal"/>
        <w:spacing w:lineRule="auto" w:line="259" w:before="0" w:after="0"/>
        <w:ind w:left="12" w:right="76" w:hanging="0"/>
        <w:jc w:val="left"/>
        <w:rPr>
          <w:b/>
          <w:b/>
          <w:sz w:val="24"/>
        </w:rPr>
      </w:pPr>
      <w:r>
        <w:rPr>
          <w:b/>
          <w:sz w:val="24"/>
        </w:rPr>
      </w:r>
    </w:p>
    <w:p>
      <w:pPr>
        <w:pStyle w:val="Nagwek1"/>
        <w:numPr>
          <w:ilvl w:val="0"/>
          <w:numId w:val="0"/>
        </w:numPr>
        <w:shd w:val="clear" w:fill="F7CAAC"/>
        <w:ind w:left="0" w:right="4000" w:hanging="0"/>
        <w:rPr/>
      </w:pPr>
      <w:bookmarkStart w:id="0" w:name="_Toc38874105"/>
      <w:r>
        <w:rPr/>
        <w:t>SPIS TREŚCI</w:t>
      </w:r>
      <w:bookmarkEnd w:id="0"/>
    </w:p>
    <w:sdt>
      <w:sdtPr>
        <w:docPartObj>
          <w:docPartGallery w:val="Table of Contents"/>
          <w:docPartUnique w:val="true"/>
        </w:docPartObj>
      </w:sdtPr>
      <w:sdtContent>
        <w:p>
          <w:pPr>
            <w:pStyle w:val="Spistreci1"/>
            <w:tabs>
              <w:tab w:val="clear" w:pos="708"/>
              <w:tab w:val="right" w:pos="9066" w:leader="dot"/>
            </w:tabs>
            <w:rPr>
              <w:rFonts w:ascii="Calibri" w:hAnsi="Calibri" w:eastAsia="" w:cs="" w:asciiTheme="minorHAnsi" w:cstheme="minorBidi" w:eastAsiaTheme="minorEastAsia" w:hAnsiTheme="minorHAnsi"/>
              <w:color w:val="auto"/>
            </w:rPr>
          </w:pPr>
          <w:r>
            <w:fldChar w:fldCharType="begin"/>
          </w:r>
          <w:r>
            <w:rPr>
              <w:webHidden/>
              <w:rStyle w:val="Czeindeksu"/>
              <w:vanish w:val="false"/>
            </w:rPr>
            <w:instrText> TOC \z \o "1-2" \u \h</w:instrText>
          </w:r>
          <w:r>
            <w:rPr>
              <w:webHidden/>
              <w:rStyle w:val="Czeindeksu"/>
              <w:vanish w:val="false"/>
            </w:rPr>
            <w:fldChar w:fldCharType="separate"/>
          </w:r>
          <w:hyperlink w:anchor="_Toc38874105">
            <w:r>
              <w:rPr>
                <w:webHidden/>
              </w:rPr>
              <w:fldChar w:fldCharType="begin"/>
            </w:r>
            <w:r>
              <w:rPr>
                <w:webHidden/>
              </w:rPr>
              <w:instrText>PAGEREF _Toc38874105 \h</w:instrText>
            </w:r>
            <w:r>
              <w:rPr>
                <w:webHidden/>
              </w:rPr>
              <w:fldChar w:fldCharType="separate"/>
            </w:r>
            <w:r>
              <w:rPr>
                <w:webHidden/>
                <w:rStyle w:val="Czeindeksu"/>
                <w:vanish w:val="false"/>
              </w:rPr>
              <w:t>SPIS TREŚCI</w:t>
              <w:tab/>
              <w:t>3</w:t>
            </w:r>
            <w:r>
              <w:rPr>
                <w:webHidden/>
              </w:rPr>
              <w:fldChar w:fldCharType="end"/>
            </w:r>
          </w:hyperlink>
        </w:p>
        <w:p>
          <w:pPr>
            <w:pStyle w:val="Spistreci1"/>
            <w:tabs>
              <w:tab w:val="clear" w:pos="708"/>
              <w:tab w:val="left" w:pos="461" w:leader="none"/>
              <w:tab w:val="right" w:pos="9066" w:leader="dot"/>
            </w:tabs>
            <w:rPr>
              <w:rFonts w:ascii="Calibri" w:hAnsi="Calibri" w:eastAsia="" w:cs="" w:asciiTheme="minorHAnsi" w:cstheme="minorBidi" w:eastAsiaTheme="minorEastAsia" w:hAnsiTheme="minorHAnsi"/>
              <w:color w:val="auto"/>
            </w:rPr>
          </w:pPr>
          <w:hyperlink w:anchor="_Toc38874106">
            <w:r>
              <w:rPr>
                <w:webHidden/>
                <w:rStyle w:val="Czeindeksu"/>
                <w:vanish w:val="false"/>
                <w14:scene3d>
                  <w14:camera w14:prst="orthographicFront"/>
                  <w14:lightRig w14:rig="threePt" w14:dir="t">
                    <w14:rot w14:lat="0" w14:lon="0" w14:rev="0"/>
                  </w14:lightRig>
                </w14:scene3d>
              </w:rPr>
              <w:t>1.</w:t>
            </w:r>
            <w:r>
              <w:rPr>
                <w:rStyle w:val="Czeindeksu"/>
                <w:rFonts w:eastAsia="" w:cs="" w:cstheme="minorBidi" w:eastAsiaTheme="minorEastAsia"/>
                <w:color w:val="auto"/>
              </w:rPr>
              <w:tab/>
            </w:r>
            <w:r>
              <w:rPr>
                <w:rStyle w:val="Czeindeksu"/>
              </w:rPr>
              <w:t>Nazwa i adres Zamawiającego</w:t>
            </w:r>
            <w:r>
              <w:rPr>
                <w:webHidden/>
              </w:rPr>
              <w:fldChar w:fldCharType="begin"/>
            </w:r>
            <w:r>
              <w:rPr>
                <w:webHidden/>
              </w:rPr>
              <w:instrText>PAGEREF _Toc38874106 \h</w:instrText>
            </w:r>
            <w:r>
              <w:rPr>
                <w:webHidden/>
              </w:rPr>
              <w:fldChar w:fldCharType="separate"/>
            </w:r>
            <w:r>
              <w:rPr>
                <w:rStyle w:val="Czeindeksu"/>
                <w:vanish w:val="false"/>
              </w:rPr>
              <w:tab/>
              <w:t>4</w:t>
            </w:r>
            <w:r>
              <w:rPr>
                <w:webHidden/>
              </w:rPr>
              <w:fldChar w:fldCharType="end"/>
            </w:r>
          </w:hyperlink>
        </w:p>
        <w:p>
          <w:pPr>
            <w:pStyle w:val="Spistreci1"/>
            <w:tabs>
              <w:tab w:val="clear" w:pos="708"/>
              <w:tab w:val="left" w:pos="461" w:leader="none"/>
              <w:tab w:val="right" w:pos="9066" w:leader="dot"/>
            </w:tabs>
            <w:rPr>
              <w:rFonts w:ascii="Calibri" w:hAnsi="Calibri" w:eastAsia="" w:cs="" w:asciiTheme="minorHAnsi" w:cstheme="minorBidi" w:eastAsiaTheme="minorEastAsia" w:hAnsiTheme="minorHAnsi"/>
              <w:color w:val="auto"/>
            </w:rPr>
          </w:pPr>
          <w:hyperlink w:anchor="_Toc38874107">
            <w:r>
              <w:rPr>
                <w:webHidden/>
                <w:rStyle w:val="Czeindeksu"/>
                <w:vanish w:val="false"/>
                <w14:scene3d>
                  <w14:camera w14:prst="orthographicFront"/>
                  <w14:lightRig w14:rig="threePt" w14:dir="t">
                    <w14:rot w14:lat="0" w14:lon="0" w14:rev="0"/>
                  </w14:lightRig>
                </w14:scene3d>
              </w:rPr>
              <w:t>2.</w:t>
            </w:r>
            <w:r>
              <w:rPr>
                <w:rStyle w:val="Czeindeksu"/>
                <w:rFonts w:eastAsia="" w:cs="" w:cstheme="minorBidi" w:eastAsiaTheme="minorEastAsia"/>
                <w:color w:val="auto"/>
              </w:rPr>
              <w:tab/>
            </w:r>
            <w:r>
              <w:rPr>
                <w:rStyle w:val="Czeindeksu"/>
              </w:rPr>
              <w:t>Tryb udzielania zamówienia</w:t>
            </w:r>
            <w:r>
              <w:rPr>
                <w:webHidden/>
              </w:rPr>
              <w:fldChar w:fldCharType="begin"/>
            </w:r>
            <w:r>
              <w:rPr>
                <w:webHidden/>
              </w:rPr>
              <w:instrText>PAGEREF _Toc38874107 \h</w:instrText>
            </w:r>
            <w:r>
              <w:rPr>
                <w:webHidden/>
              </w:rPr>
              <w:fldChar w:fldCharType="separate"/>
            </w:r>
            <w:r>
              <w:rPr>
                <w:rStyle w:val="Czeindeksu"/>
                <w:vanish w:val="false"/>
              </w:rPr>
              <w:tab/>
              <w:t>4</w:t>
            </w:r>
            <w:r>
              <w:rPr>
                <w:webHidden/>
              </w:rPr>
              <w:fldChar w:fldCharType="end"/>
            </w:r>
          </w:hyperlink>
        </w:p>
        <w:p>
          <w:pPr>
            <w:pStyle w:val="Spistreci1"/>
            <w:tabs>
              <w:tab w:val="clear" w:pos="708"/>
              <w:tab w:val="left" w:pos="461" w:leader="none"/>
              <w:tab w:val="right" w:pos="9066" w:leader="dot"/>
            </w:tabs>
            <w:rPr>
              <w:rFonts w:ascii="Calibri" w:hAnsi="Calibri" w:eastAsia="" w:cs="" w:asciiTheme="minorHAnsi" w:cstheme="minorBidi" w:eastAsiaTheme="minorEastAsia" w:hAnsiTheme="minorHAnsi"/>
              <w:color w:val="auto"/>
            </w:rPr>
          </w:pPr>
          <w:hyperlink w:anchor="_Toc38874108">
            <w:r>
              <w:rPr>
                <w:webHidden/>
                <w:rStyle w:val="Czeindeksu"/>
                <w:vanish w:val="false"/>
                <w14:scene3d>
                  <w14:camera w14:prst="orthographicFront"/>
                  <w14:lightRig w14:rig="threePt" w14:dir="t">
                    <w14:rot w14:lat="0" w14:lon="0" w14:rev="0"/>
                  </w14:lightRig>
                </w14:scene3d>
              </w:rPr>
              <w:t>3.</w:t>
            </w:r>
            <w:r>
              <w:rPr>
                <w:rStyle w:val="Czeindeksu"/>
                <w:rFonts w:eastAsia="" w:cs="" w:cstheme="minorBidi" w:eastAsiaTheme="minorEastAsia"/>
                <w:color w:val="auto"/>
              </w:rPr>
              <w:tab/>
            </w:r>
            <w:r>
              <w:rPr>
                <w:rStyle w:val="Czeindeksu"/>
              </w:rPr>
              <w:t>Opis przedmiotu zamówienia</w:t>
            </w:r>
            <w:r>
              <w:rPr>
                <w:webHidden/>
              </w:rPr>
              <w:fldChar w:fldCharType="begin"/>
            </w:r>
            <w:r>
              <w:rPr>
                <w:webHidden/>
              </w:rPr>
              <w:instrText>PAGEREF _Toc38874108 \h</w:instrText>
            </w:r>
            <w:r>
              <w:rPr>
                <w:webHidden/>
              </w:rPr>
              <w:fldChar w:fldCharType="separate"/>
            </w:r>
            <w:r>
              <w:rPr>
                <w:rStyle w:val="Czeindeksu"/>
                <w:vanish w:val="false"/>
              </w:rPr>
              <w:tab/>
              <w:t>5</w:t>
            </w:r>
            <w:r>
              <w:rPr>
                <w:webHidden/>
              </w:rPr>
              <w:fldChar w:fldCharType="end"/>
            </w:r>
          </w:hyperlink>
        </w:p>
        <w:p>
          <w:pPr>
            <w:pStyle w:val="Spistreci1"/>
            <w:tabs>
              <w:tab w:val="clear" w:pos="708"/>
              <w:tab w:val="left" w:pos="461" w:leader="none"/>
              <w:tab w:val="right" w:pos="9066" w:leader="dot"/>
            </w:tabs>
            <w:rPr>
              <w:rFonts w:ascii="Calibri" w:hAnsi="Calibri" w:eastAsia="" w:cs="" w:asciiTheme="minorHAnsi" w:cstheme="minorBidi" w:eastAsiaTheme="minorEastAsia" w:hAnsiTheme="minorHAnsi"/>
              <w:color w:val="auto"/>
            </w:rPr>
          </w:pPr>
          <w:hyperlink w:anchor="_Toc38874109">
            <w:r>
              <w:rPr>
                <w:webHidden/>
                <w:rStyle w:val="Czeindeksu"/>
                <w:vanish w:val="false"/>
                <w14:scene3d>
                  <w14:camera w14:prst="orthographicFront"/>
                  <w14:lightRig w14:rig="threePt" w14:dir="t">
                    <w14:rot w14:lat="0" w14:lon="0" w14:rev="0"/>
                  </w14:lightRig>
                </w14:scene3d>
              </w:rPr>
              <w:t>4.</w:t>
            </w:r>
            <w:r>
              <w:rPr>
                <w:rStyle w:val="Czeindeksu"/>
                <w:rFonts w:eastAsia="" w:cs="" w:cstheme="minorBidi" w:eastAsiaTheme="minorEastAsia"/>
                <w:color w:val="auto"/>
              </w:rPr>
              <w:tab/>
            </w:r>
            <w:r>
              <w:rPr>
                <w:rStyle w:val="Czeindeksu"/>
              </w:rPr>
              <w:t>Termin wykonania zamówienia</w:t>
            </w:r>
            <w:r>
              <w:rPr>
                <w:webHidden/>
              </w:rPr>
              <w:fldChar w:fldCharType="begin"/>
            </w:r>
            <w:r>
              <w:rPr>
                <w:webHidden/>
              </w:rPr>
              <w:instrText>PAGEREF _Toc38874109 \h</w:instrText>
            </w:r>
            <w:r>
              <w:rPr>
                <w:webHidden/>
              </w:rPr>
              <w:fldChar w:fldCharType="separate"/>
            </w:r>
            <w:r>
              <w:rPr>
                <w:rStyle w:val="Czeindeksu"/>
                <w:vanish w:val="false"/>
              </w:rPr>
              <w:tab/>
              <w:t>6</w:t>
            </w:r>
            <w:r>
              <w:rPr>
                <w:webHidden/>
              </w:rPr>
              <w:fldChar w:fldCharType="end"/>
            </w:r>
          </w:hyperlink>
        </w:p>
        <w:p>
          <w:pPr>
            <w:pStyle w:val="Spistreci1"/>
            <w:tabs>
              <w:tab w:val="clear" w:pos="708"/>
              <w:tab w:val="left" w:pos="461" w:leader="none"/>
              <w:tab w:val="right" w:pos="9066" w:leader="dot"/>
            </w:tabs>
            <w:rPr>
              <w:rFonts w:ascii="Calibri" w:hAnsi="Calibri" w:eastAsia="" w:cs="" w:asciiTheme="minorHAnsi" w:cstheme="minorBidi" w:eastAsiaTheme="minorEastAsia" w:hAnsiTheme="minorHAnsi"/>
              <w:color w:val="auto"/>
            </w:rPr>
          </w:pPr>
          <w:hyperlink w:anchor="_Toc38874110">
            <w:r>
              <w:rPr>
                <w:webHidden/>
                <w:rStyle w:val="Czeindeksu"/>
                <w:vanish w:val="false"/>
                <w14:scene3d>
                  <w14:camera w14:prst="orthographicFront"/>
                  <w14:lightRig w14:rig="threePt" w14:dir="t">
                    <w14:rot w14:lat="0" w14:lon="0" w14:rev="0"/>
                  </w14:lightRig>
                </w14:scene3d>
              </w:rPr>
              <w:t>5.</w:t>
            </w:r>
            <w:r>
              <w:rPr>
                <w:rStyle w:val="Czeindeksu"/>
                <w:rFonts w:eastAsia="" w:cs="" w:cstheme="minorBidi" w:eastAsiaTheme="minorEastAsia"/>
                <w:color w:val="auto"/>
              </w:rPr>
              <w:tab/>
            </w:r>
            <w:r>
              <w:rPr>
                <w:rStyle w:val="Czeindeksu"/>
              </w:rPr>
              <w:t>Warunki udziału w postępowaniu, podstawy wykluczenia z postępowania</w:t>
            </w:r>
            <w:r>
              <w:rPr>
                <w:webHidden/>
              </w:rPr>
              <w:fldChar w:fldCharType="begin"/>
            </w:r>
            <w:r>
              <w:rPr>
                <w:webHidden/>
              </w:rPr>
              <w:instrText>PAGEREF _Toc38874110 \h</w:instrText>
            </w:r>
            <w:r>
              <w:rPr>
                <w:webHidden/>
              </w:rPr>
              <w:fldChar w:fldCharType="separate"/>
            </w:r>
            <w:r>
              <w:rPr>
                <w:rStyle w:val="Czeindeksu"/>
                <w:vanish w:val="false"/>
              </w:rPr>
              <w:tab/>
              <w:t>6</w:t>
            </w:r>
            <w:r>
              <w:rPr>
                <w:webHidden/>
              </w:rPr>
              <w:fldChar w:fldCharType="end"/>
            </w:r>
          </w:hyperlink>
        </w:p>
        <w:p>
          <w:pPr>
            <w:pStyle w:val="Spistreci1"/>
            <w:tabs>
              <w:tab w:val="clear" w:pos="708"/>
              <w:tab w:val="left" w:pos="461" w:leader="none"/>
              <w:tab w:val="right" w:pos="9066" w:leader="dot"/>
            </w:tabs>
            <w:rPr>
              <w:rFonts w:ascii="Calibri" w:hAnsi="Calibri" w:eastAsia="" w:cs="" w:asciiTheme="minorHAnsi" w:cstheme="minorBidi" w:eastAsiaTheme="minorEastAsia" w:hAnsiTheme="minorHAnsi"/>
              <w:color w:val="auto"/>
            </w:rPr>
          </w:pPr>
          <w:hyperlink w:anchor="_Toc38874111">
            <w:r>
              <w:rPr>
                <w:webHidden/>
                <w:rStyle w:val="Czeindeksu"/>
                <w:vanish w:val="false"/>
                <w14:scene3d>
                  <w14:camera w14:prst="orthographicFront"/>
                  <w14:lightRig w14:rig="threePt" w14:dir="t">
                    <w14:rot w14:lat="0" w14:lon="0" w14:rev="0"/>
                  </w14:lightRig>
                </w14:scene3d>
              </w:rPr>
              <w:t>6.</w:t>
            </w:r>
            <w:r>
              <w:rPr>
                <w:rStyle w:val="Czeindeksu"/>
                <w:rFonts w:eastAsia="" w:cs="" w:cstheme="minorBidi" w:eastAsiaTheme="minorEastAsia"/>
                <w:color w:val="auto"/>
              </w:rPr>
              <w:tab/>
            </w:r>
            <w:r>
              <w:rPr>
                <w:rStyle w:val="Czeindeksu"/>
              </w:rPr>
              <w:t>Wykaz oświadczeń lub dokumentów, jakie mają dostarczyć Wykonawcy potwierdzających spełnianie warunków udziału w postępowaniu oraz brak podstaw wykluczenia</w:t>
            </w:r>
            <w:r>
              <w:rPr>
                <w:webHidden/>
              </w:rPr>
              <w:fldChar w:fldCharType="begin"/>
            </w:r>
            <w:r>
              <w:rPr>
                <w:webHidden/>
              </w:rPr>
              <w:instrText>PAGEREF _Toc38874111 \h</w:instrText>
            </w:r>
            <w:r>
              <w:rPr>
                <w:webHidden/>
              </w:rPr>
              <w:fldChar w:fldCharType="separate"/>
            </w:r>
            <w:r>
              <w:rPr>
                <w:rStyle w:val="Czeindeksu"/>
                <w:vanish w:val="false"/>
              </w:rPr>
              <w:tab/>
              <w:t>9</w:t>
            </w:r>
            <w:r>
              <w:rPr>
                <w:webHidden/>
              </w:rPr>
              <w:fldChar w:fldCharType="end"/>
            </w:r>
          </w:hyperlink>
        </w:p>
        <w:p>
          <w:pPr>
            <w:pStyle w:val="Spistreci1"/>
            <w:tabs>
              <w:tab w:val="clear" w:pos="708"/>
              <w:tab w:val="left" w:pos="461" w:leader="none"/>
              <w:tab w:val="right" w:pos="9066" w:leader="dot"/>
            </w:tabs>
            <w:rPr>
              <w:rFonts w:ascii="Calibri" w:hAnsi="Calibri" w:eastAsia="" w:cs="" w:asciiTheme="minorHAnsi" w:cstheme="minorBidi" w:eastAsiaTheme="minorEastAsia" w:hAnsiTheme="minorHAnsi"/>
              <w:color w:val="auto"/>
            </w:rPr>
          </w:pPr>
          <w:hyperlink w:anchor="_Toc38874112">
            <w:r>
              <w:rPr>
                <w:webHidden/>
                <w:rStyle w:val="Czeindeksu"/>
                <w:vanish w:val="false"/>
                <w14:scene3d>
                  <w14:camera w14:prst="orthographicFront"/>
                  <w14:lightRig w14:rig="threePt" w14:dir="t">
                    <w14:rot w14:lat="0" w14:lon="0" w14:rev="0"/>
                  </w14:lightRig>
                </w14:scene3d>
              </w:rPr>
              <w:t>7.</w:t>
            </w:r>
            <w:r>
              <w:rPr>
                <w:rStyle w:val="Czeindeksu"/>
                <w:rFonts w:eastAsia="" w:cs="" w:cstheme="minorBidi" w:eastAsiaTheme="minorEastAsia"/>
                <w:color w:val="auto"/>
              </w:rPr>
              <w:tab/>
            </w:r>
            <w:r>
              <w:rPr>
                <w:rStyle w:val="Czeindeksu"/>
              </w:rPr>
              <w:t>Informacje o sposobie porozumiewania się zamawiającego z wykonawcami oraz przekazywania oświadczeń lub dokumentów</w:t>
            </w:r>
            <w:r>
              <w:rPr>
                <w:webHidden/>
              </w:rPr>
              <w:fldChar w:fldCharType="begin"/>
            </w:r>
            <w:r>
              <w:rPr>
                <w:webHidden/>
              </w:rPr>
              <w:instrText>PAGEREF _Toc38874112 \h</w:instrText>
            </w:r>
            <w:r>
              <w:rPr>
                <w:webHidden/>
              </w:rPr>
              <w:fldChar w:fldCharType="separate"/>
            </w:r>
            <w:r>
              <w:rPr>
                <w:rStyle w:val="Czeindeksu"/>
                <w:vanish w:val="false"/>
              </w:rPr>
              <w:tab/>
              <w:t>13</w:t>
            </w:r>
            <w:r>
              <w:rPr>
                <w:webHidden/>
              </w:rPr>
              <w:fldChar w:fldCharType="end"/>
            </w:r>
          </w:hyperlink>
        </w:p>
        <w:p>
          <w:pPr>
            <w:pStyle w:val="Spistreci1"/>
            <w:tabs>
              <w:tab w:val="clear" w:pos="708"/>
              <w:tab w:val="left" w:pos="461" w:leader="none"/>
              <w:tab w:val="right" w:pos="9066" w:leader="dot"/>
            </w:tabs>
            <w:rPr>
              <w:rFonts w:ascii="Calibri" w:hAnsi="Calibri" w:eastAsia="" w:cs="" w:asciiTheme="minorHAnsi" w:cstheme="minorBidi" w:eastAsiaTheme="minorEastAsia" w:hAnsiTheme="minorHAnsi"/>
              <w:color w:val="auto"/>
            </w:rPr>
          </w:pPr>
          <w:hyperlink w:anchor="_Toc38874113">
            <w:r>
              <w:rPr>
                <w:webHidden/>
                <w:rStyle w:val="Czeindeksu"/>
                <w:vanish w:val="false"/>
                <w14:scene3d>
                  <w14:camera w14:prst="orthographicFront"/>
                  <w14:lightRig w14:rig="threePt" w14:dir="t">
                    <w14:rot w14:lat="0" w14:lon="0" w14:rev="0"/>
                  </w14:lightRig>
                </w14:scene3d>
              </w:rPr>
              <w:t>8.</w:t>
            </w:r>
            <w:r>
              <w:rPr>
                <w:rStyle w:val="Czeindeksu"/>
                <w:rFonts w:eastAsia="" w:cs="" w:cstheme="minorBidi" w:eastAsiaTheme="minorEastAsia"/>
                <w:color w:val="auto"/>
              </w:rPr>
              <w:tab/>
            </w:r>
            <w:r>
              <w:rPr>
                <w:rStyle w:val="Czeindeksu"/>
              </w:rPr>
              <w:t>Wymagania dotyczące wadium</w:t>
            </w:r>
            <w:r>
              <w:rPr>
                <w:webHidden/>
              </w:rPr>
              <w:fldChar w:fldCharType="begin"/>
            </w:r>
            <w:r>
              <w:rPr>
                <w:webHidden/>
              </w:rPr>
              <w:instrText>PAGEREF _Toc38874113 \h</w:instrText>
            </w:r>
            <w:r>
              <w:rPr>
                <w:webHidden/>
              </w:rPr>
              <w:fldChar w:fldCharType="separate"/>
            </w:r>
            <w:r>
              <w:rPr>
                <w:rStyle w:val="Czeindeksu"/>
                <w:vanish w:val="false"/>
              </w:rPr>
              <w:tab/>
              <w:t>16</w:t>
            </w:r>
            <w:r>
              <w:rPr>
                <w:webHidden/>
              </w:rPr>
              <w:fldChar w:fldCharType="end"/>
            </w:r>
          </w:hyperlink>
        </w:p>
        <w:p>
          <w:pPr>
            <w:pStyle w:val="Spistreci1"/>
            <w:tabs>
              <w:tab w:val="clear" w:pos="708"/>
              <w:tab w:val="left" w:pos="461" w:leader="none"/>
              <w:tab w:val="right" w:pos="9066" w:leader="dot"/>
            </w:tabs>
            <w:rPr>
              <w:rFonts w:ascii="Calibri" w:hAnsi="Calibri" w:eastAsia="" w:cs="" w:asciiTheme="minorHAnsi" w:cstheme="minorBidi" w:eastAsiaTheme="minorEastAsia" w:hAnsiTheme="minorHAnsi"/>
              <w:color w:val="auto"/>
            </w:rPr>
          </w:pPr>
          <w:hyperlink w:anchor="_Toc38874114">
            <w:r>
              <w:rPr>
                <w:webHidden/>
                <w:rStyle w:val="Czeindeksu"/>
                <w:vanish w:val="false"/>
                <w14:scene3d>
                  <w14:camera w14:prst="orthographicFront"/>
                  <w14:lightRig w14:rig="threePt" w14:dir="t">
                    <w14:rot w14:lat="0" w14:lon="0" w14:rev="0"/>
                  </w14:lightRig>
                </w14:scene3d>
              </w:rPr>
              <w:t>9.</w:t>
            </w:r>
            <w:r>
              <w:rPr>
                <w:rStyle w:val="Czeindeksu"/>
                <w:rFonts w:eastAsia="" w:cs="" w:cstheme="minorBidi" w:eastAsiaTheme="minorEastAsia"/>
                <w:color w:val="auto"/>
              </w:rPr>
              <w:tab/>
            </w:r>
            <w:r>
              <w:rPr>
                <w:rStyle w:val="Czeindeksu"/>
              </w:rPr>
              <w:t>Termin związania ofertą</w:t>
            </w:r>
            <w:r>
              <w:rPr>
                <w:webHidden/>
              </w:rPr>
              <w:fldChar w:fldCharType="begin"/>
            </w:r>
            <w:r>
              <w:rPr>
                <w:webHidden/>
              </w:rPr>
              <w:instrText>PAGEREF _Toc38874114 \h</w:instrText>
            </w:r>
            <w:r>
              <w:rPr>
                <w:webHidden/>
              </w:rPr>
              <w:fldChar w:fldCharType="separate"/>
            </w:r>
            <w:r>
              <w:rPr>
                <w:rStyle w:val="Czeindeksu"/>
                <w:vanish w:val="false"/>
              </w:rPr>
              <w:tab/>
              <w:t>17</w:t>
            </w:r>
            <w:r>
              <w:rPr>
                <w:webHidden/>
              </w:rPr>
              <w:fldChar w:fldCharType="end"/>
            </w:r>
          </w:hyperlink>
        </w:p>
        <w:p>
          <w:pPr>
            <w:pStyle w:val="Spistreci1"/>
            <w:tabs>
              <w:tab w:val="clear" w:pos="708"/>
              <w:tab w:val="left" w:pos="660" w:leader="none"/>
              <w:tab w:val="right" w:pos="9066" w:leader="dot"/>
            </w:tabs>
            <w:rPr>
              <w:rFonts w:ascii="Calibri" w:hAnsi="Calibri" w:eastAsia="" w:cs="" w:asciiTheme="minorHAnsi" w:cstheme="minorBidi" w:eastAsiaTheme="minorEastAsia" w:hAnsiTheme="minorHAnsi"/>
              <w:color w:val="auto"/>
            </w:rPr>
          </w:pPr>
          <w:hyperlink w:anchor="_Toc38874115">
            <w:r>
              <w:rPr>
                <w:webHidden/>
                <w:rStyle w:val="Czeindeksu"/>
                <w:vanish w:val="false"/>
                <w14:scene3d>
                  <w14:camera w14:prst="orthographicFront"/>
                  <w14:lightRig w14:rig="threePt" w14:dir="t">
                    <w14:rot w14:lat="0" w14:lon="0" w14:rev="0"/>
                  </w14:lightRig>
                </w14:scene3d>
              </w:rPr>
              <w:t>10.</w:t>
            </w:r>
            <w:r>
              <w:rPr>
                <w:rStyle w:val="Czeindeksu"/>
                <w:rFonts w:eastAsia="" w:cs="" w:cstheme="minorBidi" w:eastAsiaTheme="minorEastAsia"/>
                <w:color w:val="auto"/>
              </w:rPr>
              <w:tab/>
            </w:r>
            <w:r>
              <w:rPr>
                <w:rStyle w:val="Czeindeksu"/>
              </w:rPr>
              <w:t>Opis sposobu przygotowania ofert</w:t>
            </w:r>
            <w:r>
              <w:rPr>
                <w:webHidden/>
              </w:rPr>
              <w:fldChar w:fldCharType="begin"/>
            </w:r>
            <w:r>
              <w:rPr>
                <w:webHidden/>
              </w:rPr>
              <w:instrText>PAGEREF _Toc38874115 \h</w:instrText>
            </w:r>
            <w:r>
              <w:rPr>
                <w:webHidden/>
              </w:rPr>
              <w:fldChar w:fldCharType="separate"/>
            </w:r>
            <w:r>
              <w:rPr>
                <w:rStyle w:val="Czeindeksu"/>
                <w:vanish w:val="false"/>
              </w:rPr>
              <w:tab/>
              <w:t>18</w:t>
            </w:r>
            <w:r>
              <w:rPr>
                <w:webHidden/>
              </w:rPr>
              <w:fldChar w:fldCharType="end"/>
            </w:r>
          </w:hyperlink>
        </w:p>
        <w:p>
          <w:pPr>
            <w:pStyle w:val="Spistreci1"/>
            <w:tabs>
              <w:tab w:val="clear" w:pos="708"/>
              <w:tab w:val="left" w:pos="660" w:leader="none"/>
              <w:tab w:val="right" w:pos="9066" w:leader="dot"/>
            </w:tabs>
            <w:rPr>
              <w:rFonts w:ascii="Calibri" w:hAnsi="Calibri" w:eastAsia="" w:cs="" w:asciiTheme="minorHAnsi" w:cstheme="minorBidi" w:eastAsiaTheme="minorEastAsia" w:hAnsiTheme="minorHAnsi"/>
              <w:color w:val="auto"/>
            </w:rPr>
          </w:pPr>
          <w:hyperlink w:anchor="_Toc38874116">
            <w:r>
              <w:rPr>
                <w:webHidden/>
                <w:rStyle w:val="Czeindeksu"/>
                <w:vanish w:val="false"/>
                <w14:scene3d>
                  <w14:camera w14:prst="orthographicFront"/>
                  <w14:lightRig w14:rig="threePt" w14:dir="t">
                    <w14:rot w14:lat="0" w14:lon="0" w14:rev="0"/>
                  </w14:lightRig>
                </w14:scene3d>
              </w:rPr>
              <w:t>11.</w:t>
            </w:r>
            <w:r>
              <w:rPr>
                <w:rStyle w:val="Czeindeksu"/>
                <w:rFonts w:eastAsia="" w:cs="" w:cstheme="minorBidi" w:eastAsiaTheme="minorEastAsia"/>
                <w:color w:val="auto"/>
              </w:rPr>
              <w:tab/>
            </w:r>
            <w:r>
              <w:rPr>
                <w:rStyle w:val="Czeindeksu"/>
              </w:rPr>
              <w:t>Wymagania dotyczące Podwykonawców</w:t>
            </w:r>
            <w:r>
              <w:rPr>
                <w:webHidden/>
              </w:rPr>
              <w:fldChar w:fldCharType="begin"/>
            </w:r>
            <w:r>
              <w:rPr>
                <w:webHidden/>
              </w:rPr>
              <w:instrText>PAGEREF _Toc38874116 \h</w:instrText>
            </w:r>
            <w:r>
              <w:rPr>
                <w:webHidden/>
              </w:rPr>
              <w:fldChar w:fldCharType="separate"/>
            </w:r>
            <w:r>
              <w:rPr>
                <w:rStyle w:val="Czeindeksu"/>
                <w:vanish w:val="false"/>
              </w:rPr>
              <w:tab/>
              <w:t>19</w:t>
            </w:r>
            <w:r>
              <w:rPr>
                <w:webHidden/>
              </w:rPr>
              <w:fldChar w:fldCharType="end"/>
            </w:r>
          </w:hyperlink>
        </w:p>
        <w:p>
          <w:pPr>
            <w:pStyle w:val="Spistreci1"/>
            <w:tabs>
              <w:tab w:val="clear" w:pos="708"/>
              <w:tab w:val="left" w:pos="660" w:leader="none"/>
              <w:tab w:val="right" w:pos="9066" w:leader="dot"/>
            </w:tabs>
            <w:rPr>
              <w:rFonts w:ascii="Calibri" w:hAnsi="Calibri" w:eastAsia="" w:cs="" w:asciiTheme="minorHAnsi" w:cstheme="minorBidi" w:eastAsiaTheme="minorEastAsia" w:hAnsiTheme="minorHAnsi"/>
              <w:color w:val="auto"/>
            </w:rPr>
          </w:pPr>
          <w:hyperlink w:anchor="_Toc38874117">
            <w:r>
              <w:rPr>
                <w:webHidden/>
                <w:rStyle w:val="Czeindeksu"/>
                <w:vanish w:val="false"/>
                <w14:scene3d>
                  <w14:camera w14:prst="orthographicFront"/>
                  <w14:lightRig w14:rig="threePt" w14:dir="t">
                    <w14:rot w14:lat="0" w14:lon="0" w14:rev="0"/>
                  </w14:lightRig>
                </w14:scene3d>
              </w:rPr>
              <w:t>12.</w:t>
            </w:r>
            <w:r>
              <w:rPr>
                <w:rStyle w:val="Czeindeksu"/>
                <w:rFonts w:eastAsia="" w:cs="" w:cstheme="minorBidi" w:eastAsiaTheme="minorEastAsia"/>
                <w:color w:val="auto"/>
              </w:rPr>
              <w:tab/>
            </w:r>
            <w:r>
              <w:rPr>
                <w:rStyle w:val="Czeindeksu"/>
              </w:rPr>
              <w:t>Miejsce oraz termin składania i otwarcia ofert</w:t>
            </w:r>
            <w:r>
              <w:rPr>
                <w:webHidden/>
              </w:rPr>
              <w:fldChar w:fldCharType="begin"/>
            </w:r>
            <w:r>
              <w:rPr>
                <w:webHidden/>
              </w:rPr>
              <w:instrText>PAGEREF _Toc38874117 \h</w:instrText>
            </w:r>
            <w:r>
              <w:rPr>
                <w:webHidden/>
              </w:rPr>
              <w:fldChar w:fldCharType="separate"/>
            </w:r>
            <w:r>
              <w:rPr>
                <w:rStyle w:val="Czeindeksu"/>
                <w:vanish w:val="false"/>
              </w:rPr>
              <w:tab/>
              <w:t>20</w:t>
            </w:r>
            <w:r>
              <w:rPr>
                <w:webHidden/>
              </w:rPr>
              <w:fldChar w:fldCharType="end"/>
            </w:r>
          </w:hyperlink>
        </w:p>
        <w:p>
          <w:pPr>
            <w:pStyle w:val="Spistreci1"/>
            <w:tabs>
              <w:tab w:val="clear" w:pos="708"/>
              <w:tab w:val="left" w:pos="660" w:leader="none"/>
              <w:tab w:val="right" w:pos="9066" w:leader="dot"/>
            </w:tabs>
            <w:rPr>
              <w:rFonts w:ascii="Calibri" w:hAnsi="Calibri" w:eastAsia="" w:cs="" w:asciiTheme="minorHAnsi" w:cstheme="minorBidi" w:eastAsiaTheme="minorEastAsia" w:hAnsiTheme="minorHAnsi"/>
              <w:color w:val="auto"/>
            </w:rPr>
          </w:pPr>
          <w:hyperlink w:anchor="_Toc38874118">
            <w:r>
              <w:rPr>
                <w:webHidden/>
                <w:rStyle w:val="Czeindeksu"/>
                <w:vanish w:val="false"/>
                <w14:scene3d>
                  <w14:camera w14:prst="orthographicFront"/>
                  <w14:lightRig w14:rig="threePt" w14:dir="t">
                    <w14:rot w14:lat="0" w14:lon="0" w14:rev="0"/>
                  </w14:lightRig>
                </w14:scene3d>
              </w:rPr>
              <w:t>13.</w:t>
            </w:r>
            <w:r>
              <w:rPr>
                <w:rStyle w:val="Czeindeksu"/>
                <w:rFonts w:eastAsia="" w:cs="" w:cstheme="minorBidi" w:eastAsiaTheme="minorEastAsia"/>
                <w:color w:val="auto"/>
              </w:rPr>
              <w:tab/>
            </w:r>
            <w:r>
              <w:rPr>
                <w:rStyle w:val="Czeindeksu"/>
              </w:rPr>
              <w:t>Opis sposobu obliczania ceny oferty</w:t>
            </w:r>
            <w:r>
              <w:rPr>
                <w:webHidden/>
              </w:rPr>
              <w:fldChar w:fldCharType="begin"/>
            </w:r>
            <w:r>
              <w:rPr>
                <w:webHidden/>
              </w:rPr>
              <w:instrText>PAGEREF _Toc38874118 \h</w:instrText>
            </w:r>
            <w:r>
              <w:rPr>
                <w:webHidden/>
              </w:rPr>
              <w:fldChar w:fldCharType="separate"/>
            </w:r>
            <w:r>
              <w:rPr>
                <w:rStyle w:val="Czeindeksu"/>
                <w:vanish w:val="false"/>
              </w:rPr>
              <w:tab/>
              <w:t>20</w:t>
            </w:r>
            <w:r>
              <w:rPr>
                <w:webHidden/>
              </w:rPr>
              <w:fldChar w:fldCharType="end"/>
            </w:r>
          </w:hyperlink>
        </w:p>
        <w:p>
          <w:pPr>
            <w:pStyle w:val="Spistreci1"/>
            <w:tabs>
              <w:tab w:val="clear" w:pos="708"/>
              <w:tab w:val="left" w:pos="660" w:leader="none"/>
              <w:tab w:val="right" w:pos="9066" w:leader="dot"/>
            </w:tabs>
            <w:rPr>
              <w:rFonts w:ascii="Calibri" w:hAnsi="Calibri" w:eastAsia="" w:cs="" w:asciiTheme="minorHAnsi" w:cstheme="minorBidi" w:eastAsiaTheme="minorEastAsia" w:hAnsiTheme="minorHAnsi"/>
              <w:color w:val="auto"/>
            </w:rPr>
          </w:pPr>
          <w:hyperlink w:anchor="_Toc38874119">
            <w:r>
              <w:rPr>
                <w:webHidden/>
                <w:rStyle w:val="Czeindeksu"/>
                <w:vanish w:val="false"/>
                <w14:scene3d>
                  <w14:camera w14:prst="orthographicFront"/>
                  <w14:lightRig w14:rig="threePt" w14:dir="t">
                    <w14:rot w14:lat="0" w14:lon="0" w14:rev="0"/>
                  </w14:lightRig>
                </w14:scene3d>
              </w:rPr>
              <w:t>14.</w:t>
            </w:r>
            <w:r>
              <w:rPr>
                <w:rStyle w:val="Czeindeksu"/>
                <w:rFonts w:eastAsia="" w:cs="" w:cstheme="minorBidi" w:eastAsiaTheme="minorEastAsia"/>
                <w:color w:val="auto"/>
              </w:rPr>
              <w:tab/>
            </w:r>
            <w:r>
              <w:rPr>
                <w:rStyle w:val="Czeindeksu"/>
              </w:rPr>
              <w:t>Opis kryteriów, którymi Zamawiający będzie kierował się przy wyborze oferty, wraz z podaniem wag tych kryteriów i sposobu oceny ofert</w:t>
            </w:r>
            <w:r>
              <w:rPr>
                <w:webHidden/>
              </w:rPr>
              <w:fldChar w:fldCharType="begin"/>
            </w:r>
            <w:r>
              <w:rPr>
                <w:webHidden/>
              </w:rPr>
              <w:instrText>PAGEREF _Toc38874119 \h</w:instrText>
            </w:r>
            <w:r>
              <w:rPr>
                <w:webHidden/>
              </w:rPr>
              <w:fldChar w:fldCharType="separate"/>
            </w:r>
            <w:r>
              <w:rPr>
                <w:rStyle w:val="Czeindeksu"/>
                <w:vanish w:val="false"/>
              </w:rPr>
              <w:tab/>
              <w:t>21</w:t>
            </w:r>
            <w:r>
              <w:rPr>
                <w:webHidden/>
              </w:rPr>
              <w:fldChar w:fldCharType="end"/>
            </w:r>
          </w:hyperlink>
        </w:p>
        <w:p>
          <w:pPr>
            <w:pStyle w:val="Spistreci1"/>
            <w:tabs>
              <w:tab w:val="clear" w:pos="708"/>
              <w:tab w:val="left" w:pos="660" w:leader="none"/>
              <w:tab w:val="right" w:pos="9066" w:leader="dot"/>
            </w:tabs>
            <w:rPr>
              <w:rFonts w:ascii="Calibri" w:hAnsi="Calibri" w:eastAsia="" w:cs="" w:asciiTheme="minorHAnsi" w:cstheme="minorBidi" w:eastAsiaTheme="minorEastAsia" w:hAnsiTheme="minorHAnsi"/>
              <w:color w:val="auto"/>
            </w:rPr>
          </w:pPr>
          <w:hyperlink w:anchor="_Toc38874120">
            <w:r>
              <w:rPr>
                <w:webHidden/>
                <w:rStyle w:val="Czeindeksu"/>
                <w:vanish w:val="false"/>
                <w14:scene3d>
                  <w14:camera w14:prst="orthographicFront"/>
                  <w14:lightRig w14:rig="threePt" w14:dir="t">
                    <w14:rot w14:lat="0" w14:lon="0" w14:rev="0"/>
                  </w14:lightRig>
                </w14:scene3d>
              </w:rPr>
              <w:t>15.</w:t>
            </w:r>
            <w:r>
              <w:rPr>
                <w:rStyle w:val="Czeindeksu"/>
                <w:rFonts w:eastAsia="" w:cs="" w:cstheme="minorBidi" w:eastAsiaTheme="minorEastAsia"/>
                <w:color w:val="auto"/>
              </w:rPr>
              <w:tab/>
            </w:r>
            <w:r>
              <w:rPr>
                <w:rStyle w:val="Czeindeksu"/>
              </w:rPr>
              <w:t>Informacje o formalnościach, jakie powinny zostać dopełnione po wyborze oferty w celu zawarcia umowy w sprawie zamówienia publicznego</w:t>
            </w:r>
            <w:r>
              <w:rPr>
                <w:webHidden/>
              </w:rPr>
              <w:fldChar w:fldCharType="begin"/>
            </w:r>
            <w:r>
              <w:rPr>
                <w:webHidden/>
              </w:rPr>
              <w:instrText>PAGEREF _Toc38874120 \h</w:instrText>
            </w:r>
            <w:r>
              <w:rPr>
                <w:webHidden/>
              </w:rPr>
              <w:fldChar w:fldCharType="separate"/>
            </w:r>
            <w:r>
              <w:rPr>
                <w:rStyle w:val="Czeindeksu"/>
                <w:vanish w:val="false"/>
              </w:rPr>
              <w:tab/>
              <w:t>23</w:t>
            </w:r>
            <w:r>
              <w:rPr>
                <w:webHidden/>
              </w:rPr>
              <w:fldChar w:fldCharType="end"/>
            </w:r>
          </w:hyperlink>
        </w:p>
        <w:p>
          <w:pPr>
            <w:pStyle w:val="Spistreci1"/>
            <w:tabs>
              <w:tab w:val="clear" w:pos="708"/>
              <w:tab w:val="left" w:pos="660" w:leader="none"/>
              <w:tab w:val="right" w:pos="9066" w:leader="dot"/>
            </w:tabs>
            <w:rPr>
              <w:rFonts w:ascii="Calibri" w:hAnsi="Calibri" w:eastAsia="" w:cs="" w:asciiTheme="minorHAnsi" w:cstheme="minorBidi" w:eastAsiaTheme="minorEastAsia" w:hAnsiTheme="minorHAnsi"/>
              <w:color w:val="auto"/>
            </w:rPr>
          </w:pPr>
          <w:hyperlink w:anchor="_Toc38874121">
            <w:r>
              <w:rPr>
                <w:webHidden/>
                <w:rStyle w:val="Czeindeksu"/>
                <w:vanish w:val="false"/>
                <w14:scene3d>
                  <w14:camera w14:prst="orthographicFront"/>
                  <w14:lightRig w14:rig="threePt" w14:dir="t">
                    <w14:rot w14:lat="0" w14:lon="0" w14:rev="0"/>
                  </w14:lightRig>
                </w14:scene3d>
              </w:rPr>
              <w:t>16.</w:t>
            </w:r>
            <w:r>
              <w:rPr>
                <w:rStyle w:val="Czeindeksu"/>
                <w:rFonts w:eastAsia="" w:cs="" w:cstheme="minorBidi" w:eastAsiaTheme="minorEastAsia"/>
                <w:color w:val="auto"/>
              </w:rPr>
              <w:tab/>
            </w:r>
            <w:r>
              <w:rPr>
                <w:rStyle w:val="Czeindeksu"/>
              </w:rPr>
              <w:t>Wymagania dotyczące zabezpieczenia należytego wykonania umowy</w:t>
            </w:r>
            <w:r>
              <w:rPr>
                <w:webHidden/>
              </w:rPr>
              <w:fldChar w:fldCharType="begin"/>
            </w:r>
            <w:r>
              <w:rPr>
                <w:webHidden/>
              </w:rPr>
              <w:instrText>PAGEREF _Toc38874121 \h</w:instrText>
            </w:r>
            <w:r>
              <w:rPr>
                <w:webHidden/>
              </w:rPr>
              <w:fldChar w:fldCharType="separate"/>
            </w:r>
            <w:r>
              <w:rPr>
                <w:rStyle w:val="Czeindeksu"/>
                <w:vanish w:val="false"/>
              </w:rPr>
              <w:tab/>
              <w:t>23</w:t>
            </w:r>
            <w:r>
              <w:rPr>
                <w:webHidden/>
              </w:rPr>
              <w:fldChar w:fldCharType="end"/>
            </w:r>
          </w:hyperlink>
        </w:p>
        <w:p>
          <w:pPr>
            <w:pStyle w:val="Spistreci1"/>
            <w:tabs>
              <w:tab w:val="clear" w:pos="708"/>
              <w:tab w:val="left" w:pos="660" w:leader="none"/>
              <w:tab w:val="right" w:pos="9066" w:leader="dot"/>
            </w:tabs>
            <w:rPr>
              <w:rFonts w:ascii="Calibri" w:hAnsi="Calibri" w:eastAsia="" w:cs="" w:asciiTheme="minorHAnsi" w:cstheme="minorBidi" w:eastAsiaTheme="minorEastAsia" w:hAnsiTheme="minorHAnsi"/>
              <w:color w:val="auto"/>
            </w:rPr>
          </w:pPr>
          <w:hyperlink w:anchor="_Toc38874122">
            <w:r>
              <w:rPr>
                <w:webHidden/>
                <w:rStyle w:val="Czeindeksu"/>
                <w:vanish w:val="false"/>
                <w14:scene3d>
                  <w14:camera w14:prst="orthographicFront"/>
                  <w14:lightRig w14:rig="threePt" w14:dir="t">
                    <w14:rot w14:lat="0" w14:lon="0" w14:rev="0"/>
                  </w14:lightRig>
                </w14:scene3d>
              </w:rPr>
              <w:t>17.</w:t>
            </w:r>
            <w:r>
              <w:rPr>
                <w:rStyle w:val="Czeindeksu"/>
                <w:rFonts w:eastAsia="" w:cs="" w:cstheme="minorBidi" w:eastAsiaTheme="minorEastAsia"/>
                <w:color w:val="auto"/>
              </w:rPr>
              <w:tab/>
            </w:r>
            <w:r>
              <w:rPr>
                <w:rStyle w:val="Czeindeksu"/>
              </w:rPr>
              <w:t>Istotne dla stron postanowienia, które zostaną wprowadzone  do treści zawieranej umowy w sprawie zamówienia publicznego</w:t>
            </w:r>
            <w:r>
              <w:rPr>
                <w:webHidden/>
              </w:rPr>
              <w:fldChar w:fldCharType="begin"/>
            </w:r>
            <w:r>
              <w:rPr>
                <w:webHidden/>
              </w:rPr>
              <w:instrText>PAGEREF _Toc38874122 \h</w:instrText>
            </w:r>
            <w:r>
              <w:rPr>
                <w:webHidden/>
              </w:rPr>
              <w:fldChar w:fldCharType="separate"/>
            </w:r>
            <w:r>
              <w:rPr>
                <w:rStyle w:val="Czeindeksu"/>
                <w:vanish w:val="false"/>
              </w:rPr>
              <w:tab/>
              <w:t>24</w:t>
            </w:r>
            <w:r>
              <w:rPr>
                <w:webHidden/>
              </w:rPr>
              <w:fldChar w:fldCharType="end"/>
            </w:r>
          </w:hyperlink>
        </w:p>
        <w:p>
          <w:pPr>
            <w:pStyle w:val="Spistreci1"/>
            <w:tabs>
              <w:tab w:val="clear" w:pos="708"/>
              <w:tab w:val="left" w:pos="660" w:leader="none"/>
              <w:tab w:val="right" w:pos="9066" w:leader="dot"/>
            </w:tabs>
            <w:rPr>
              <w:rFonts w:ascii="Calibri" w:hAnsi="Calibri" w:eastAsia="" w:cs="" w:asciiTheme="minorHAnsi" w:cstheme="minorBidi" w:eastAsiaTheme="minorEastAsia" w:hAnsiTheme="minorHAnsi"/>
              <w:color w:val="auto"/>
            </w:rPr>
          </w:pPr>
          <w:hyperlink w:anchor="_Toc38874123">
            <w:r>
              <w:rPr>
                <w:webHidden/>
                <w:rStyle w:val="Czeindeksu"/>
                <w:vanish w:val="false"/>
                <w14:scene3d>
                  <w14:camera w14:prst="orthographicFront"/>
                  <w14:lightRig w14:rig="threePt" w14:dir="t">
                    <w14:rot w14:lat="0" w14:lon="0" w14:rev="0"/>
                  </w14:lightRig>
                </w14:scene3d>
              </w:rPr>
              <w:t>18.</w:t>
            </w:r>
            <w:r>
              <w:rPr>
                <w:rStyle w:val="Czeindeksu"/>
                <w:rFonts w:eastAsia="" w:cs="" w:cstheme="minorBidi" w:eastAsiaTheme="minorEastAsia"/>
                <w:color w:val="auto"/>
              </w:rPr>
              <w:tab/>
            </w:r>
            <w:r>
              <w:rPr>
                <w:rStyle w:val="Czeindeksu"/>
              </w:rPr>
              <w:t>Finansowanie zamówienia</w:t>
            </w:r>
            <w:r>
              <w:rPr>
                <w:webHidden/>
              </w:rPr>
              <w:fldChar w:fldCharType="begin"/>
            </w:r>
            <w:r>
              <w:rPr>
                <w:webHidden/>
              </w:rPr>
              <w:instrText>PAGEREF _Toc38874123 \h</w:instrText>
            </w:r>
            <w:r>
              <w:rPr>
                <w:webHidden/>
              </w:rPr>
              <w:fldChar w:fldCharType="separate"/>
            </w:r>
            <w:r>
              <w:rPr>
                <w:rStyle w:val="Czeindeksu"/>
                <w:vanish w:val="false"/>
              </w:rPr>
              <w:tab/>
              <w:t>24</w:t>
            </w:r>
            <w:r>
              <w:rPr>
                <w:webHidden/>
              </w:rPr>
              <w:fldChar w:fldCharType="end"/>
            </w:r>
          </w:hyperlink>
        </w:p>
        <w:p>
          <w:pPr>
            <w:pStyle w:val="Spistreci1"/>
            <w:tabs>
              <w:tab w:val="clear" w:pos="708"/>
              <w:tab w:val="left" w:pos="660" w:leader="none"/>
              <w:tab w:val="right" w:pos="9066" w:leader="dot"/>
            </w:tabs>
            <w:rPr>
              <w:rFonts w:ascii="Calibri" w:hAnsi="Calibri" w:eastAsia="" w:cs="" w:asciiTheme="minorHAnsi" w:cstheme="minorBidi" w:eastAsiaTheme="minorEastAsia" w:hAnsiTheme="minorHAnsi"/>
              <w:color w:val="auto"/>
            </w:rPr>
          </w:pPr>
          <w:hyperlink w:anchor="_Toc38874124">
            <w:r>
              <w:rPr>
                <w:webHidden/>
                <w:rStyle w:val="Czeindeksu"/>
                <w:vanish w:val="false"/>
                <w14:scene3d>
                  <w14:camera w14:prst="orthographicFront"/>
                  <w14:lightRig w14:rig="threePt" w14:dir="t">
                    <w14:rot w14:lat="0" w14:lon="0" w14:rev="0"/>
                  </w14:lightRig>
                </w14:scene3d>
              </w:rPr>
              <w:t>19.</w:t>
            </w:r>
            <w:r>
              <w:rPr>
                <w:rStyle w:val="Czeindeksu"/>
                <w:rFonts w:eastAsia="" w:cs="" w:cstheme="minorBidi" w:eastAsiaTheme="minorEastAsia"/>
                <w:color w:val="auto"/>
              </w:rPr>
              <w:tab/>
            </w:r>
            <w:r>
              <w:rPr>
                <w:rStyle w:val="Czeindeksu"/>
              </w:rPr>
              <w:t>Informacja o możliwości składania ofert częściowych</w:t>
            </w:r>
            <w:r>
              <w:rPr>
                <w:webHidden/>
              </w:rPr>
              <w:fldChar w:fldCharType="begin"/>
            </w:r>
            <w:r>
              <w:rPr>
                <w:webHidden/>
              </w:rPr>
              <w:instrText>PAGEREF _Toc38874124 \h</w:instrText>
            </w:r>
            <w:r>
              <w:rPr>
                <w:webHidden/>
              </w:rPr>
              <w:fldChar w:fldCharType="separate"/>
            </w:r>
            <w:r>
              <w:rPr>
                <w:rStyle w:val="Czeindeksu"/>
                <w:vanish w:val="false"/>
              </w:rPr>
              <w:tab/>
              <w:t>25</w:t>
            </w:r>
            <w:r>
              <w:rPr>
                <w:webHidden/>
              </w:rPr>
              <w:fldChar w:fldCharType="end"/>
            </w:r>
          </w:hyperlink>
        </w:p>
        <w:p>
          <w:pPr>
            <w:pStyle w:val="Spistreci1"/>
            <w:tabs>
              <w:tab w:val="clear" w:pos="708"/>
              <w:tab w:val="left" w:pos="660" w:leader="none"/>
              <w:tab w:val="right" w:pos="9066" w:leader="dot"/>
            </w:tabs>
            <w:rPr>
              <w:rFonts w:ascii="Calibri" w:hAnsi="Calibri" w:eastAsia="" w:cs="" w:asciiTheme="minorHAnsi" w:cstheme="minorBidi" w:eastAsiaTheme="minorEastAsia" w:hAnsiTheme="minorHAnsi"/>
              <w:color w:val="auto"/>
            </w:rPr>
          </w:pPr>
          <w:hyperlink w:anchor="_Toc38874125">
            <w:r>
              <w:rPr>
                <w:webHidden/>
                <w:rStyle w:val="Czeindeksu"/>
                <w:vanish w:val="false"/>
                <w14:scene3d>
                  <w14:camera w14:prst="orthographicFront"/>
                  <w14:lightRig w14:rig="threePt" w14:dir="t">
                    <w14:rot w14:lat="0" w14:lon="0" w14:rev="0"/>
                  </w14:lightRig>
                </w14:scene3d>
              </w:rPr>
              <w:t>20.</w:t>
            </w:r>
            <w:r>
              <w:rPr>
                <w:rStyle w:val="Czeindeksu"/>
                <w:rFonts w:eastAsia="" w:cs="" w:cstheme="minorBidi" w:eastAsiaTheme="minorEastAsia"/>
                <w:color w:val="auto"/>
              </w:rPr>
              <w:tab/>
            </w:r>
            <w:r>
              <w:rPr>
                <w:rStyle w:val="Czeindeksu"/>
              </w:rPr>
              <w:t>Informacja o przewidywanych zamówieniach podobnych i dodatkowych</w:t>
            </w:r>
            <w:r>
              <w:rPr>
                <w:webHidden/>
              </w:rPr>
              <w:fldChar w:fldCharType="begin"/>
            </w:r>
            <w:r>
              <w:rPr>
                <w:webHidden/>
              </w:rPr>
              <w:instrText>PAGEREF _Toc38874125 \h</w:instrText>
            </w:r>
            <w:r>
              <w:rPr>
                <w:webHidden/>
              </w:rPr>
              <w:fldChar w:fldCharType="separate"/>
            </w:r>
            <w:r>
              <w:rPr>
                <w:rStyle w:val="Czeindeksu"/>
                <w:vanish w:val="false"/>
              </w:rPr>
              <w:tab/>
              <w:t>25</w:t>
            </w:r>
            <w:r>
              <w:rPr>
                <w:webHidden/>
              </w:rPr>
              <w:fldChar w:fldCharType="end"/>
            </w:r>
          </w:hyperlink>
        </w:p>
        <w:p>
          <w:pPr>
            <w:pStyle w:val="Spistreci1"/>
            <w:tabs>
              <w:tab w:val="clear" w:pos="708"/>
              <w:tab w:val="left" w:pos="660" w:leader="none"/>
              <w:tab w:val="right" w:pos="9066" w:leader="dot"/>
            </w:tabs>
            <w:rPr>
              <w:rFonts w:ascii="Calibri" w:hAnsi="Calibri" w:eastAsia="" w:cs="" w:asciiTheme="minorHAnsi" w:cstheme="minorBidi" w:eastAsiaTheme="minorEastAsia" w:hAnsiTheme="minorHAnsi"/>
              <w:color w:val="auto"/>
            </w:rPr>
          </w:pPr>
          <w:hyperlink w:anchor="_Toc38874126">
            <w:r>
              <w:rPr>
                <w:webHidden/>
                <w:rStyle w:val="Czeindeksu"/>
                <w:vanish w:val="false"/>
                <w14:scene3d>
                  <w14:camera w14:prst="orthographicFront"/>
                  <w14:lightRig w14:rig="threePt" w14:dir="t">
                    <w14:rot w14:lat="0" w14:lon="0" w14:rev="0"/>
                  </w14:lightRig>
                </w14:scene3d>
              </w:rPr>
              <w:t>21.</w:t>
            </w:r>
            <w:r>
              <w:rPr>
                <w:rStyle w:val="Czeindeksu"/>
                <w:rFonts w:eastAsia="" w:cs="" w:cstheme="minorBidi" w:eastAsiaTheme="minorEastAsia"/>
                <w:color w:val="auto"/>
              </w:rPr>
              <w:tab/>
            </w:r>
            <w:r>
              <w:rPr>
                <w:rStyle w:val="Czeindeksu"/>
              </w:rPr>
              <w:t>Informacja o ofercie wariantowej</w:t>
            </w:r>
            <w:r>
              <w:rPr>
                <w:webHidden/>
              </w:rPr>
              <w:fldChar w:fldCharType="begin"/>
            </w:r>
            <w:r>
              <w:rPr>
                <w:webHidden/>
              </w:rPr>
              <w:instrText>PAGEREF _Toc38874126 \h</w:instrText>
            </w:r>
            <w:r>
              <w:rPr>
                <w:webHidden/>
              </w:rPr>
              <w:fldChar w:fldCharType="separate"/>
            </w:r>
            <w:r>
              <w:rPr>
                <w:rStyle w:val="Czeindeksu"/>
                <w:vanish w:val="false"/>
              </w:rPr>
              <w:tab/>
              <w:t>25</w:t>
            </w:r>
            <w:r>
              <w:rPr>
                <w:webHidden/>
              </w:rPr>
              <w:fldChar w:fldCharType="end"/>
            </w:r>
          </w:hyperlink>
        </w:p>
        <w:p>
          <w:pPr>
            <w:pStyle w:val="Spistreci1"/>
            <w:tabs>
              <w:tab w:val="clear" w:pos="708"/>
              <w:tab w:val="left" w:pos="660" w:leader="none"/>
              <w:tab w:val="right" w:pos="9066" w:leader="dot"/>
            </w:tabs>
            <w:rPr>
              <w:rFonts w:ascii="Calibri" w:hAnsi="Calibri" w:eastAsia="" w:cs="" w:asciiTheme="minorHAnsi" w:cstheme="minorBidi" w:eastAsiaTheme="minorEastAsia" w:hAnsiTheme="minorHAnsi"/>
              <w:color w:val="auto"/>
            </w:rPr>
          </w:pPr>
          <w:hyperlink w:anchor="_Toc38874127">
            <w:r>
              <w:rPr>
                <w:webHidden/>
                <w:rStyle w:val="Czeindeksu"/>
                <w:vanish w:val="false"/>
                <w14:scene3d>
                  <w14:camera w14:prst="orthographicFront"/>
                  <w14:lightRig w14:rig="threePt" w14:dir="t">
                    <w14:rot w14:lat="0" w14:lon="0" w14:rev="0"/>
                  </w14:lightRig>
                </w14:scene3d>
              </w:rPr>
              <w:t>22.</w:t>
            </w:r>
            <w:r>
              <w:rPr>
                <w:rStyle w:val="Czeindeksu"/>
                <w:rFonts w:eastAsia="" w:cs="" w:cstheme="minorBidi" w:eastAsiaTheme="minorEastAsia"/>
                <w:color w:val="auto"/>
              </w:rPr>
              <w:tab/>
            </w:r>
            <w:r>
              <w:rPr>
                <w:rStyle w:val="Czeindeksu"/>
              </w:rPr>
              <w:t>Informacja o aukcji elektronicznej</w:t>
            </w:r>
            <w:r>
              <w:rPr>
                <w:webHidden/>
              </w:rPr>
              <w:fldChar w:fldCharType="begin"/>
            </w:r>
            <w:r>
              <w:rPr>
                <w:webHidden/>
              </w:rPr>
              <w:instrText>PAGEREF _Toc38874127 \h</w:instrText>
            </w:r>
            <w:r>
              <w:rPr>
                <w:webHidden/>
              </w:rPr>
              <w:fldChar w:fldCharType="separate"/>
            </w:r>
            <w:r>
              <w:rPr>
                <w:rStyle w:val="Czeindeksu"/>
                <w:vanish w:val="false"/>
              </w:rPr>
              <w:tab/>
              <w:t>25</w:t>
            </w:r>
            <w:r>
              <w:rPr>
                <w:webHidden/>
              </w:rPr>
              <w:fldChar w:fldCharType="end"/>
            </w:r>
          </w:hyperlink>
        </w:p>
        <w:p>
          <w:pPr>
            <w:pStyle w:val="Spistreci1"/>
            <w:tabs>
              <w:tab w:val="clear" w:pos="708"/>
              <w:tab w:val="left" w:pos="660" w:leader="none"/>
              <w:tab w:val="right" w:pos="9066" w:leader="dot"/>
            </w:tabs>
            <w:rPr>
              <w:rFonts w:ascii="Calibri" w:hAnsi="Calibri" w:eastAsia="" w:cs="" w:asciiTheme="minorHAnsi" w:cstheme="minorBidi" w:eastAsiaTheme="minorEastAsia" w:hAnsiTheme="minorHAnsi"/>
              <w:color w:val="auto"/>
            </w:rPr>
          </w:pPr>
          <w:hyperlink w:anchor="_Toc38874128">
            <w:r>
              <w:rPr>
                <w:webHidden/>
                <w:rStyle w:val="Czeindeksu"/>
                <w:vanish w:val="false"/>
                <w14:scene3d>
                  <w14:camera w14:prst="orthographicFront"/>
                  <w14:lightRig w14:rig="threePt" w14:dir="t">
                    <w14:rot w14:lat="0" w14:lon="0" w14:rev="0"/>
                  </w14:lightRig>
                </w14:scene3d>
              </w:rPr>
              <w:t>23.</w:t>
            </w:r>
            <w:r>
              <w:rPr>
                <w:rStyle w:val="Czeindeksu"/>
                <w:rFonts w:eastAsia="" w:cs="" w:cstheme="minorBidi" w:eastAsiaTheme="minorEastAsia"/>
                <w:color w:val="auto"/>
              </w:rPr>
              <w:tab/>
            </w:r>
            <w:r>
              <w:rPr>
                <w:rStyle w:val="Czeindeksu"/>
              </w:rPr>
              <w:t>Pouczenie o środkach ochrony prawnej przysługujących Wykonawcy w toku postępowania o udzielenie zamówienia</w:t>
            </w:r>
            <w:r>
              <w:rPr>
                <w:webHidden/>
              </w:rPr>
              <w:fldChar w:fldCharType="begin"/>
            </w:r>
            <w:r>
              <w:rPr>
                <w:webHidden/>
              </w:rPr>
              <w:instrText>PAGEREF _Toc38874128 \h</w:instrText>
            </w:r>
            <w:r>
              <w:rPr>
                <w:webHidden/>
              </w:rPr>
              <w:fldChar w:fldCharType="separate"/>
            </w:r>
            <w:r>
              <w:rPr>
                <w:rStyle w:val="Czeindeksu"/>
                <w:vanish w:val="false"/>
              </w:rPr>
              <w:tab/>
              <w:t>25</w:t>
            </w:r>
            <w:r>
              <w:rPr>
                <w:webHidden/>
              </w:rPr>
              <w:fldChar w:fldCharType="end"/>
            </w:r>
          </w:hyperlink>
        </w:p>
        <w:p>
          <w:pPr>
            <w:pStyle w:val="Spistreci1"/>
            <w:tabs>
              <w:tab w:val="clear" w:pos="708"/>
              <w:tab w:val="left" w:pos="660" w:leader="none"/>
              <w:tab w:val="right" w:pos="9066" w:leader="dot"/>
            </w:tabs>
            <w:rPr>
              <w:rFonts w:ascii="Calibri" w:hAnsi="Calibri" w:eastAsia="" w:cs="" w:asciiTheme="minorHAnsi" w:cstheme="minorBidi" w:eastAsiaTheme="minorEastAsia" w:hAnsiTheme="minorHAnsi"/>
              <w:color w:val="auto"/>
            </w:rPr>
          </w:pPr>
          <w:hyperlink w:anchor="_Toc38874129">
            <w:r>
              <w:rPr>
                <w:webHidden/>
                <w:rStyle w:val="Czeindeksu"/>
                <w:vanish w:val="false"/>
                <w14:scene3d>
                  <w14:camera w14:prst="orthographicFront"/>
                  <w14:lightRig w14:rig="threePt" w14:dir="t">
                    <w14:rot w14:lat="0" w14:lon="0" w14:rev="0"/>
                  </w14:lightRig>
                </w14:scene3d>
              </w:rPr>
              <w:t>24.</w:t>
            </w:r>
            <w:r>
              <w:rPr>
                <w:rStyle w:val="Czeindeksu"/>
                <w:rFonts w:eastAsia="" w:cs="" w:cstheme="minorBidi" w:eastAsiaTheme="minorEastAsia"/>
                <w:color w:val="auto"/>
              </w:rPr>
              <w:tab/>
            </w:r>
            <w:r>
              <w:rPr>
                <w:rStyle w:val="Czeindeksu"/>
              </w:rPr>
              <w:t>Klauzula informacyjna z art. 13 RODO w celu związanym z postępowaniem o udzielenie zamówienia publicznego</w:t>
            </w:r>
            <w:r>
              <w:rPr>
                <w:webHidden/>
              </w:rPr>
              <w:fldChar w:fldCharType="begin"/>
            </w:r>
            <w:r>
              <w:rPr>
                <w:webHidden/>
              </w:rPr>
              <w:instrText>PAGEREF _Toc38874129 \h</w:instrText>
            </w:r>
            <w:r>
              <w:rPr>
                <w:webHidden/>
              </w:rPr>
              <w:fldChar w:fldCharType="separate"/>
            </w:r>
            <w:r>
              <w:rPr>
                <w:rStyle w:val="Czeindeksu"/>
                <w:vanish w:val="false"/>
              </w:rPr>
              <w:tab/>
              <w:t>26</w:t>
            </w:r>
            <w:r>
              <w:rPr>
                <w:webHidden/>
              </w:rPr>
              <w:fldChar w:fldCharType="end"/>
            </w:r>
          </w:hyperlink>
        </w:p>
        <w:p>
          <w:pPr>
            <w:pStyle w:val="Spistreci1"/>
            <w:tabs>
              <w:tab w:val="clear" w:pos="708"/>
              <w:tab w:val="left" w:pos="660" w:leader="none"/>
              <w:tab w:val="right" w:pos="9066" w:leader="dot"/>
            </w:tabs>
            <w:rPr>
              <w:rFonts w:ascii="Calibri" w:hAnsi="Calibri" w:eastAsia="" w:cs="" w:asciiTheme="minorHAnsi" w:cstheme="minorBidi" w:eastAsiaTheme="minorEastAsia" w:hAnsiTheme="minorHAnsi"/>
              <w:color w:val="auto"/>
            </w:rPr>
          </w:pPr>
          <w:hyperlink w:anchor="_Toc38874130">
            <w:r>
              <w:rPr>
                <w:webHidden/>
                <w:rStyle w:val="Czeindeksu"/>
                <w:vanish w:val="false"/>
                <w14:scene3d>
                  <w14:camera w14:prst="orthographicFront"/>
                  <w14:lightRig w14:rig="threePt" w14:dir="t">
                    <w14:rot w14:lat="0" w14:lon="0" w14:rev="0"/>
                  </w14:lightRig>
                </w14:scene3d>
              </w:rPr>
              <w:t>25.</w:t>
            </w:r>
            <w:r>
              <w:rPr>
                <w:rStyle w:val="Czeindeksu"/>
                <w:rFonts w:eastAsia="" w:cs="" w:cstheme="minorBidi" w:eastAsiaTheme="minorEastAsia"/>
                <w:color w:val="auto"/>
              </w:rPr>
              <w:tab/>
            </w:r>
            <w:r>
              <w:rPr>
                <w:rStyle w:val="Czeindeksu"/>
              </w:rPr>
              <w:t>Wykaz załączników do SIWZ</w:t>
            </w:r>
            <w:r>
              <w:rPr>
                <w:webHidden/>
              </w:rPr>
              <w:fldChar w:fldCharType="begin"/>
            </w:r>
            <w:r>
              <w:rPr>
                <w:webHidden/>
              </w:rPr>
              <w:instrText>PAGEREF _Toc38874130 \h</w:instrText>
            </w:r>
            <w:r>
              <w:rPr>
                <w:webHidden/>
              </w:rPr>
              <w:fldChar w:fldCharType="separate"/>
            </w:r>
            <w:r>
              <w:rPr>
                <w:rStyle w:val="Czeindeksu"/>
                <w:vanish w:val="false"/>
              </w:rPr>
              <w:tab/>
              <w:t>27</w:t>
            </w:r>
            <w:r>
              <w:rPr>
                <w:webHidden/>
              </w:rPr>
              <w:fldChar w:fldCharType="end"/>
            </w:r>
          </w:hyperlink>
          <w:r>
            <w:rPr>
              <w:rStyle w:val="Czeindeksu"/>
              <w:vanish w:val="false"/>
            </w:rPr>
            <w:fldChar w:fldCharType="end"/>
          </w:r>
        </w:p>
      </w:sdtContent>
    </w:sdt>
    <w:p>
      <w:pPr>
        <w:pStyle w:val="Normal"/>
        <w:ind w:left="3248" w:right="76" w:hanging="10"/>
        <w:rPr/>
      </w:pPr>
      <w:r>
        <w:rPr/>
      </w:r>
    </w:p>
    <w:p>
      <w:pPr>
        <w:pStyle w:val="Nagwek1"/>
        <w:numPr>
          <w:ilvl w:val="0"/>
          <w:numId w:val="11"/>
        </w:numPr>
        <w:shd w:val="clear" w:fill="F7CAAC"/>
        <w:ind w:left="426" w:right="4000" w:hanging="426"/>
        <w:rPr/>
      </w:pPr>
      <w:bookmarkStart w:id="1" w:name="_Toc38874106"/>
      <w:r>
        <w:rPr/>
        <w:t>Nazwa i adres Zamawiającego</w:t>
      </w:r>
      <w:bookmarkEnd w:id="1"/>
      <w:r>
        <w:rPr/>
        <w:t xml:space="preserve"> </w:t>
      </w:r>
    </w:p>
    <w:p>
      <w:pPr>
        <w:pStyle w:val="Normal"/>
        <w:spacing w:lineRule="auto" w:line="259" w:before="0" w:after="120"/>
        <w:ind w:left="11" w:right="74" w:hanging="11"/>
        <w:rPr>
          <w:b/>
          <w:b/>
          <w:bCs/>
        </w:rPr>
      </w:pPr>
      <w:bookmarkStart w:id="2" w:name="_Hlk31282133"/>
      <w:r>
        <w:rPr>
          <w:b/>
          <w:bCs/>
        </w:rPr>
        <w:t>SAMODZIELNY PUBLICZNY ZAKŁAD OPIEKI ZDROWOTNEJ MIEJSKI OŚRODEK ZDROWIA W ZIELONCE</w:t>
      </w:r>
      <w:bookmarkEnd w:id="2"/>
    </w:p>
    <w:p>
      <w:pPr>
        <w:pStyle w:val="Normal"/>
        <w:spacing w:lineRule="auto" w:line="259" w:before="0" w:after="120"/>
        <w:ind w:left="11" w:right="74" w:hanging="11"/>
        <w:rPr/>
      </w:pPr>
      <w:r>
        <w:rPr/>
        <w:t>ul. Mickiewicza 18, 05-220 Zielonka</w:t>
      </w:r>
    </w:p>
    <w:p>
      <w:pPr>
        <w:pStyle w:val="Normal"/>
        <w:spacing w:lineRule="auto" w:line="259" w:before="0" w:after="120"/>
        <w:ind w:left="11" w:right="74" w:hanging="11"/>
        <w:rPr>
          <w:lang w:bidi="pl-PL"/>
        </w:rPr>
      </w:pPr>
      <w:r>
        <w:rPr>
          <w:lang w:bidi="pl-PL"/>
        </w:rPr>
        <w:t>REGON: 016180722; NIP: 1251041592</w:t>
      </w:r>
    </w:p>
    <w:p>
      <w:pPr>
        <w:pStyle w:val="Normal"/>
        <w:spacing w:lineRule="auto" w:line="259" w:before="0" w:after="120"/>
        <w:ind w:left="11" w:right="74" w:hanging="11"/>
        <w:rPr>
          <w:lang w:val="en-US"/>
        </w:rPr>
      </w:pPr>
      <w:r>
        <w:rPr>
          <w:lang w:val="en-US"/>
        </w:rPr>
        <w:t xml:space="preserve">tel. </w:t>
      </w:r>
      <w:r>
        <w:rPr>
          <w:lang w:val="en-US" w:bidi="pl-PL"/>
        </w:rPr>
        <w:t>+48(22) 761 04 90</w:t>
      </w:r>
    </w:p>
    <w:p>
      <w:pPr>
        <w:pStyle w:val="Normal"/>
        <w:spacing w:lineRule="auto" w:line="259" w:before="0" w:after="120"/>
        <w:ind w:left="11" w:right="74" w:hanging="11"/>
        <w:rPr>
          <w:lang w:val="en-US"/>
        </w:rPr>
      </w:pPr>
      <w:r>
        <w:rPr>
          <w:lang w:val="en-US"/>
        </w:rPr>
        <w:t xml:space="preserve">fax. </w:t>
      </w:r>
      <w:r>
        <w:rPr>
          <w:lang w:val="en-US" w:bidi="pl-PL"/>
        </w:rPr>
        <w:t>+48(22) 761 04 88</w:t>
      </w:r>
    </w:p>
    <w:p>
      <w:pPr>
        <w:pStyle w:val="Normal"/>
        <w:spacing w:lineRule="auto" w:line="259" w:before="0" w:after="120"/>
        <w:ind w:left="11" w:right="74" w:hanging="11"/>
        <w:rPr>
          <w:lang w:val="en-US"/>
        </w:rPr>
      </w:pPr>
      <w:r>
        <w:rPr>
          <w:lang w:val="en-US"/>
        </w:rPr>
        <w:t>e-mail: moz_zielonka@wp.pl</w:t>
      </w:r>
    </w:p>
    <w:p>
      <w:pPr>
        <w:pStyle w:val="Normal"/>
        <w:spacing w:lineRule="auto" w:line="259" w:before="0" w:after="120"/>
        <w:ind w:left="11" w:right="74" w:hanging="11"/>
        <w:rPr>
          <w:u w:val="single"/>
          <w:lang w:bidi="pl-PL"/>
        </w:rPr>
      </w:pPr>
      <w:r>
        <w:rPr>
          <w:u w:val="single"/>
          <w:lang w:bidi="pl-PL"/>
        </w:rPr>
        <w:t>Godziny pracy:</w:t>
      </w:r>
    </w:p>
    <w:p>
      <w:pPr>
        <w:pStyle w:val="Normal"/>
        <w:spacing w:lineRule="auto" w:line="259" w:before="0" w:after="120"/>
        <w:ind w:left="11" w:right="74" w:hanging="11"/>
        <w:rPr>
          <w:lang w:bidi="pl-PL"/>
        </w:rPr>
      </w:pPr>
      <w:r>
        <w:rPr>
          <w:lang w:bidi="pl-PL"/>
        </w:rPr>
        <w:t>Poniedziałek – piątek: godz. 7.00-15.00</w:t>
      </w:r>
    </w:p>
    <w:p>
      <w:pPr>
        <w:pStyle w:val="Normal"/>
        <w:spacing w:lineRule="auto" w:line="259" w:before="0" w:after="120"/>
        <w:ind w:left="11" w:right="74" w:hanging="11"/>
        <w:rPr/>
      </w:pPr>
      <w:r>
        <w:rPr>
          <w:lang w:bidi="pl-PL"/>
        </w:rPr>
        <w:t>strona internetowa:</w:t>
      </w:r>
      <w:r>
        <w:rPr>
          <w:b/>
          <w:bCs/>
          <w:lang w:bidi="pl-PL"/>
        </w:rPr>
        <w:tab/>
        <w:tab/>
        <w:tab/>
        <w:tab/>
      </w:r>
      <w:hyperlink r:id="rId4">
        <w:r>
          <w:rPr>
            <w:rStyle w:val="Czeinternetowe"/>
          </w:rPr>
          <w:t>http://www.spzozzielonka.pl/</w:t>
        </w:r>
      </w:hyperlink>
      <w:r>
        <w:rPr>
          <w:rStyle w:val="Czeinternetowe"/>
        </w:rPr>
        <w:t xml:space="preserve"> </w:t>
      </w:r>
    </w:p>
    <w:p>
      <w:pPr>
        <w:pStyle w:val="Normal"/>
        <w:spacing w:lineRule="auto" w:line="259" w:before="0" w:after="120"/>
        <w:ind w:left="11" w:right="74" w:hanging="11"/>
        <w:rPr/>
      </w:pPr>
      <w:r>
        <w:rPr>
          <w:lang w:bidi="pl-PL"/>
        </w:rPr>
        <w:t xml:space="preserve">bip: </w:t>
        <w:tab/>
        <w:tab/>
        <w:tab/>
        <w:tab/>
        <w:tab/>
        <w:tab/>
      </w:r>
      <w:hyperlink r:id="rId5">
        <w:r>
          <w:rPr>
            <w:rStyle w:val="Czeinternetowe"/>
          </w:rPr>
          <w:t>http://spzozzielonka.bip.eur.pl/public/</w:t>
        </w:r>
      </w:hyperlink>
    </w:p>
    <w:p>
      <w:pPr>
        <w:pStyle w:val="Normal"/>
        <w:spacing w:lineRule="auto" w:line="259" w:before="0" w:after="120"/>
        <w:ind w:left="11" w:right="74" w:hanging="11"/>
        <w:rPr>
          <w:lang w:bidi="en-US"/>
        </w:rPr>
      </w:pPr>
      <w:r>
        <w:rPr>
          <w:lang w:bidi="pl-PL"/>
        </w:rPr>
        <w:t xml:space="preserve">Adres elektronicznej platformy zakupowej: </w:t>
        <w:tab/>
      </w:r>
      <w:hyperlink r:id="rId6">
        <w:r>
          <w:rPr>
            <w:rStyle w:val="Czeinternetowe"/>
          </w:rPr>
          <w:t>https://spzoz-zielonka.ezamawiajacy.pl</w:t>
        </w:r>
      </w:hyperlink>
    </w:p>
    <w:p>
      <w:pPr>
        <w:pStyle w:val="Normal"/>
        <w:spacing w:lineRule="auto" w:line="259" w:before="0" w:after="120"/>
        <w:ind w:left="0" w:right="74" w:hanging="0"/>
        <w:rPr>
          <w:lang w:bidi="pl-PL"/>
        </w:rPr>
      </w:pPr>
      <w:r>
        <w:rPr>
          <w:lang w:bidi="pl-PL"/>
        </w:rPr>
        <w:t>Ilekroć w dalszej części Specyfikacji Istotnych Warunków Zamówienia jest mowa o: „</w:t>
      </w:r>
      <w:r>
        <w:rPr>
          <w:b/>
          <w:bCs/>
          <w:lang w:bidi="pl-PL"/>
        </w:rPr>
        <w:t>Platformie zakupowej</w:t>
      </w:r>
      <w:r>
        <w:rPr>
          <w:lang w:bidi="pl-PL"/>
        </w:rPr>
        <w:t>” - należy przez to rozumieć narzędzie umożliwiające realizację procesu związanego z udzielaniem zamówień publicznych w formie elektronicznej służące szczególności do przekazywania ofert, oświadczeń w tym jednolitego europejskiego dokumentu zamówienia, zwane dalej „Platformą” lub „Systemem”.</w:t>
      </w:r>
    </w:p>
    <w:p>
      <w:pPr>
        <w:pStyle w:val="Normal"/>
        <w:spacing w:lineRule="auto" w:line="264" w:before="0" w:after="0"/>
        <w:ind w:left="0" w:right="74" w:hanging="0"/>
        <w:rPr/>
      </w:pPr>
      <w:r>
        <w:rPr/>
      </w:r>
    </w:p>
    <w:p>
      <w:pPr>
        <w:pStyle w:val="Nagwek1"/>
        <w:numPr>
          <w:ilvl w:val="0"/>
          <w:numId w:val="11"/>
        </w:numPr>
        <w:shd w:val="clear" w:fill="F7CAAC"/>
        <w:ind w:left="426" w:right="4000" w:hanging="426"/>
        <w:rPr/>
      </w:pPr>
      <w:bookmarkStart w:id="3" w:name="_Toc38874107"/>
      <w:r>
        <w:rPr/>
        <w:t>Tryb udzielania zamówienia</w:t>
      </w:r>
      <w:bookmarkEnd w:id="3"/>
      <w:r>
        <w:rPr/>
        <w:t xml:space="preserve"> </w:t>
      </w:r>
    </w:p>
    <w:p>
      <w:pPr>
        <w:pStyle w:val="Normal"/>
        <w:spacing w:lineRule="auto" w:line="259" w:before="0" w:after="120"/>
        <w:ind w:left="7" w:right="74" w:hanging="10"/>
        <w:rPr/>
      </w:pPr>
      <w:r>
        <w:rPr/>
        <w:t xml:space="preserve">Postępowanie o udzielenie zamówienia publicznego prowadzone jest w trybie przetargu nieograniczonego o wartości zamówienia przekraczającego kwoty określone w przepisach wydanych na podstawie art. 11 ust. 8 ustawy z dnia 29 stycznia 2004 r. Prawo zamówień publicznych. </w:t>
      </w:r>
    </w:p>
    <w:p>
      <w:pPr>
        <w:pStyle w:val="Normal"/>
        <w:spacing w:lineRule="auto" w:line="259" w:before="0" w:after="120"/>
        <w:ind w:left="7" w:right="74" w:hanging="10"/>
        <w:rPr/>
      </w:pPr>
      <w:r>
        <w:rPr/>
        <w:t xml:space="preserve">Podstawa prawna opracowania Specyfikacji Istotnych Warunków Zamówienia (SIWZ): </w:t>
      </w:r>
    </w:p>
    <w:p>
      <w:pPr>
        <w:pStyle w:val="Normal"/>
        <w:numPr>
          <w:ilvl w:val="0"/>
          <w:numId w:val="3"/>
        </w:numPr>
        <w:spacing w:lineRule="auto" w:line="259" w:before="0" w:after="120"/>
        <w:ind w:left="284" w:right="74" w:hanging="284"/>
        <w:rPr/>
      </w:pPr>
      <w:r>
        <w:rPr/>
        <w:t xml:space="preserve">Ustawa z dnia 29 stycznia 2004 r. - Prawo zamówień publicznych (t.j. Dz. U. z 2019 r. poz. 1843), zwanej dalej „ustawą” ; </w:t>
      </w:r>
    </w:p>
    <w:p>
      <w:pPr>
        <w:pStyle w:val="Normal"/>
        <w:numPr>
          <w:ilvl w:val="0"/>
          <w:numId w:val="3"/>
        </w:numPr>
        <w:spacing w:lineRule="auto" w:line="259" w:before="0" w:after="120"/>
        <w:ind w:left="284" w:right="74" w:hanging="284"/>
        <w:rPr/>
      </w:pPr>
      <w:r>
        <w:rPr/>
        <w:t xml:space="preserve">Rozporządzenie Ministra Rozwoju z dnia 26 lipca 2016 r. w sprawie rodzajów dokumentów, jakich może żądać zamawiający od wykonawcy w postępowaniu o udzielenie zamówienia (Dz. U. z 2016 r. poz. 1126 ze zm.); </w:t>
      </w:r>
    </w:p>
    <w:p>
      <w:pPr>
        <w:pStyle w:val="Normal"/>
        <w:numPr>
          <w:ilvl w:val="0"/>
          <w:numId w:val="3"/>
        </w:numPr>
        <w:spacing w:lineRule="auto" w:line="259" w:before="0" w:after="120"/>
        <w:ind w:left="284" w:right="74" w:hanging="284"/>
        <w:rPr/>
      </w:pPr>
      <w:r>
        <w:rPr/>
        <w:t>Rozporządzenie Prezesa Rady Ministrów z dnia 27 czerwca 2017 r. w sprawie użycia środków komunikacji elektronicznej w postępowaniu o udzielenie zamówienia publicznego oraz udostępniania i przechowywania dokumentów elektronicznych (Dz. U. z 2017 r. poz. 1320 ze zm.).</w:t>
      </w:r>
    </w:p>
    <w:p>
      <w:pPr>
        <w:pStyle w:val="Normal"/>
        <w:numPr>
          <w:ilvl w:val="0"/>
          <w:numId w:val="3"/>
        </w:numPr>
        <w:spacing w:lineRule="auto" w:line="259" w:before="0" w:after="120"/>
        <w:ind w:left="284" w:right="74" w:hanging="284"/>
        <w:rPr/>
      </w:pPr>
      <w:r>
        <w:rPr/>
        <w:t xml:space="preserve">Rozporządzenie Prezesa Rady Ministrów z dnia  29 grudnia 2017 r. w sprawie średniego   kursu złotego w stosunku do euro stanowiącego podstawę przeliczania wartości zamówień publicznych (Dz. U. z 2017 r. poz. 2477). </w:t>
      </w:r>
    </w:p>
    <w:p>
      <w:pPr>
        <w:pStyle w:val="Normal"/>
        <w:spacing w:lineRule="auto" w:line="259" w:before="0" w:after="120"/>
        <w:ind w:left="7" w:right="74" w:hanging="10"/>
        <w:rPr/>
      </w:pPr>
      <w:r>
        <w:rPr/>
        <w:t xml:space="preserve">Postępowanie oraz realizacja przedmiotu zamówienia prowadzona jest w języku polskim.  </w:t>
      </w:r>
    </w:p>
    <w:p>
      <w:pPr>
        <w:pStyle w:val="Normal"/>
        <w:spacing w:lineRule="auto" w:line="259" w:before="0" w:after="120"/>
        <w:ind w:left="7" w:right="74" w:hanging="10"/>
        <w:rPr/>
      </w:pPr>
      <w:r>
        <w:rPr/>
        <w:t>Zamawiający na podstawie art. 24aa ust. 1 ustawy Prawo zamówień publicznych w przedmiotowym postępowaniu, po upływie terminu składania ofert, najpierw dokona oceny ofert, a następnie zbada czy Wykonawca, którego oferta została oceniona jako najkorzystniejsza nie podlega wykluczeniu oraz spełnia warunki udziału w postępowaniu.</w:t>
      </w:r>
    </w:p>
    <w:p>
      <w:pPr>
        <w:pStyle w:val="Normal"/>
        <w:spacing w:lineRule="auto" w:line="259" w:before="0" w:after="120"/>
        <w:ind w:left="5" w:right="74" w:hanging="11"/>
        <w:rPr/>
      </w:pPr>
      <w:r>
        <w:rPr/>
      </w:r>
    </w:p>
    <w:p>
      <w:pPr>
        <w:pStyle w:val="Nagwek1"/>
        <w:numPr>
          <w:ilvl w:val="0"/>
          <w:numId w:val="11"/>
        </w:numPr>
        <w:shd w:val="clear" w:fill="F7CAAC"/>
        <w:ind w:left="426" w:right="4000" w:hanging="426"/>
        <w:rPr/>
      </w:pPr>
      <w:bookmarkStart w:id="4" w:name="_Toc38874108"/>
      <w:r>
        <w:rPr/>
        <w:t>Opis przedmiotu zamówienia</w:t>
      </w:r>
      <w:bookmarkEnd w:id="4"/>
    </w:p>
    <w:p>
      <w:pPr>
        <w:pStyle w:val="ListParagraph"/>
        <w:numPr>
          <w:ilvl w:val="0"/>
          <w:numId w:val="13"/>
        </w:numPr>
        <w:ind w:left="360" w:right="4" w:hanging="360"/>
        <w:rPr>
          <w:vanish/>
        </w:rPr>
      </w:pPr>
      <w:r>
        <w:rPr>
          <w:vanish/>
        </w:rPr>
      </w:r>
    </w:p>
    <w:p>
      <w:pPr>
        <w:pStyle w:val="ListParagraph"/>
        <w:numPr>
          <w:ilvl w:val="0"/>
          <w:numId w:val="13"/>
        </w:numPr>
        <w:ind w:left="360" w:right="4" w:hanging="360"/>
        <w:rPr>
          <w:vanish/>
        </w:rPr>
      </w:pPr>
      <w:r>
        <w:rPr>
          <w:vanish/>
        </w:rPr>
      </w:r>
    </w:p>
    <w:p>
      <w:pPr>
        <w:pStyle w:val="ListParagraph"/>
        <w:numPr>
          <w:ilvl w:val="0"/>
          <w:numId w:val="13"/>
        </w:numPr>
        <w:ind w:left="360" w:right="4" w:hanging="360"/>
        <w:rPr>
          <w:vanish/>
        </w:rPr>
      </w:pPr>
      <w:r>
        <w:rPr>
          <w:vanish/>
        </w:rPr>
      </w:r>
    </w:p>
    <w:p>
      <w:pPr>
        <w:pStyle w:val="ListParagraph"/>
        <w:numPr>
          <w:ilvl w:val="1"/>
          <w:numId w:val="13"/>
        </w:numPr>
        <w:spacing w:lineRule="auto" w:line="259" w:before="0" w:after="120"/>
        <w:ind w:left="425" w:right="6" w:hanging="431"/>
        <w:contextualSpacing/>
        <w:rPr/>
      </w:pPr>
      <w:r>
        <w:rPr/>
        <w:t xml:space="preserve">Przedmiot zamówienia obejmuje zakup sprzętu komputerowego i oprogramowania w tym: </w:t>
      </w:r>
    </w:p>
    <w:p>
      <w:pPr>
        <w:pStyle w:val="Normal"/>
        <w:spacing w:lineRule="auto" w:line="259" w:before="0" w:after="19"/>
        <w:ind w:left="0" w:right="76" w:hanging="0"/>
        <w:rPr/>
      </w:pPr>
      <w:r>
        <w:rPr/>
      </w:r>
    </w:p>
    <w:tbl>
      <w:tblPr>
        <w:tblW w:w="5508" w:type="dxa"/>
        <w:jc w:val="center"/>
        <w:tblInd w:w="0" w:type="dxa"/>
        <w:tblCellMar>
          <w:top w:w="0" w:type="dxa"/>
          <w:left w:w="70" w:type="dxa"/>
          <w:bottom w:w="0" w:type="dxa"/>
          <w:right w:w="70" w:type="dxa"/>
        </w:tblCellMar>
        <w:tblLook w:firstRow="1" w:noVBand="0" w:lastRow="0" w:firstColumn="1" w:lastColumn="0" w:noHBand="0" w:val="00a0"/>
      </w:tblPr>
      <w:tblGrid>
        <w:gridCol w:w="506"/>
        <w:gridCol w:w="3822"/>
        <w:gridCol w:w="551"/>
        <w:gridCol w:w="628"/>
      </w:tblGrid>
      <w:tr>
        <w:trPr>
          <w:trHeight w:val="442" w:hRule="atLeast"/>
        </w:trPr>
        <w:tc>
          <w:tcPr>
            <w:tcW w:w="506" w:type="dxa"/>
            <w:tcBorders>
              <w:top w:val="single" w:sz="8" w:space="0" w:color="000000"/>
              <w:left w:val="single" w:sz="8" w:space="0" w:color="000000"/>
              <w:bottom w:val="single" w:sz="4" w:space="0" w:color="000000"/>
              <w:right w:val="single" w:sz="8" w:space="0" w:color="000000"/>
            </w:tcBorders>
            <w:shd w:color="auto" w:fill="B4C6E7" w:val="clear"/>
            <w:vAlign w:val="center"/>
          </w:tcPr>
          <w:p>
            <w:pPr>
              <w:pStyle w:val="Normal"/>
              <w:spacing w:lineRule="auto" w:line="240" w:before="0" w:after="0"/>
              <w:ind w:left="0" w:right="0" w:hanging="0"/>
              <w:jc w:val="center"/>
              <w:rPr>
                <w:rFonts w:ascii="Times New Roman" w:hAnsi="Times New Roman" w:eastAsia="Calibri" w:cs="Times New Roman" w:eastAsiaTheme="minorHAnsi"/>
                <w:sz w:val="20"/>
                <w:szCs w:val="20"/>
                <w:lang w:eastAsia="en-US"/>
              </w:rPr>
            </w:pPr>
            <w:r>
              <w:rPr>
                <w:rFonts w:eastAsia="Calibri" w:cs="Times New Roman" w:ascii="Times New Roman" w:hAnsi="Times New Roman" w:eastAsiaTheme="minorHAnsi"/>
                <w:sz w:val="20"/>
                <w:szCs w:val="20"/>
                <w:lang w:eastAsia="en-US"/>
              </w:rPr>
              <w:t>Lp.</w:t>
            </w:r>
          </w:p>
        </w:tc>
        <w:tc>
          <w:tcPr>
            <w:tcW w:w="3822" w:type="dxa"/>
            <w:tcBorders>
              <w:top w:val="single" w:sz="8" w:space="0" w:color="000000"/>
              <w:left w:val="single" w:sz="8" w:space="0" w:color="000000"/>
              <w:bottom w:val="single" w:sz="4" w:space="0" w:color="000000"/>
              <w:right w:val="single" w:sz="8" w:space="0" w:color="000000"/>
            </w:tcBorders>
            <w:shd w:color="auto" w:fill="B4C6E7" w:val="clear"/>
            <w:vAlign w:val="center"/>
          </w:tcPr>
          <w:p>
            <w:pPr>
              <w:pStyle w:val="Normal"/>
              <w:spacing w:lineRule="auto" w:line="240" w:before="0" w:after="0"/>
              <w:ind w:left="0" w:right="0" w:hanging="0"/>
              <w:jc w:val="center"/>
              <w:rPr>
                <w:rFonts w:ascii="Times New Roman" w:hAnsi="Times New Roman" w:eastAsia="Calibri" w:cs="Times New Roman" w:eastAsiaTheme="minorHAnsi"/>
                <w:sz w:val="20"/>
                <w:szCs w:val="20"/>
                <w:lang w:eastAsia="en-US"/>
              </w:rPr>
            </w:pPr>
            <w:r>
              <w:rPr>
                <w:rFonts w:eastAsia="Calibri" w:cs="Times New Roman" w:ascii="Times New Roman" w:hAnsi="Times New Roman" w:eastAsiaTheme="minorHAnsi"/>
                <w:sz w:val="20"/>
                <w:szCs w:val="20"/>
                <w:lang w:eastAsia="en-US"/>
              </w:rPr>
              <w:t>Przedmiot zamówienia</w:t>
            </w:r>
          </w:p>
        </w:tc>
        <w:tc>
          <w:tcPr>
            <w:tcW w:w="551" w:type="dxa"/>
            <w:tcBorders>
              <w:top w:val="single" w:sz="8" w:space="0" w:color="000000"/>
              <w:left w:val="single" w:sz="8" w:space="0" w:color="000000"/>
              <w:bottom w:val="single" w:sz="4" w:space="0" w:color="000000"/>
              <w:right w:val="single" w:sz="8" w:space="0" w:color="000000"/>
            </w:tcBorders>
            <w:shd w:color="auto" w:fill="B4C6E7" w:val="clear"/>
            <w:vAlign w:val="center"/>
          </w:tcPr>
          <w:p>
            <w:pPr>
              <w:pStyle w:val="Normal"/>
              <w:spacing w:lineRule="auto" w:line="240" w:before="0" w:after="0"/>
              <w:ind w:left="0" w:right="0" w:hanging="0"/>
              <w:jc w:val="center"/>
              <w:rPr>
                <w:rFonts w:ascii="Times New Roman" w:hAnsi="Times New Roman" w:eastAsia="Calibri" w:cs="Times New Roman" w:eastAsiaTheme="minorHAnsi"/>
                <w:sz w:val="20"/>
                <w:szCs w:val="20"/>
                <w:lang w:eastAsia="en-US"/>
              </w:rPr>
            </w:pPr>
            <w:r>
              <w:rPr>
                <w:rFonts w:eastAsia="Calibri" w:cs="Times New Roman" w:ascii="Times New Roman" w:hAnsi="Times New Roman" w:eastAsiaTheme="minorHAnsi"/>
                <w:sz w:val="20"/>
                <w:szCs w:val="20"/>
                <w:lang w:eastAsia="en-US"/>
              </w:rPr>
              <w:t>Ilość</w:t>
            </w:r>
          </w:p>
        </w:tc>
        <w:tc>
          <w:tcPr>
            <w:tcW w:w="628" w:type="dxa"/>
            <w:tcBorders>
              <w:top w:val="single" w:sz="8" w:space="0" w:color="000000"/>
              <w:bottom w:val="single" w:sz="4" w:space="0" w:color="000000"/>
              <w:right w:val="single" w:sz="4" w:space="0" w:color="000000"/>
            </w:tcBorders>
            <w:shd w:color="auto" w:fill="B4C6E7" w:val="clear"/>
            <w:vAlign w:val="center"/>
          </w:tcPr>
          <w:p>
            <w:pPr>
              <w:pStyle w:val="Normal"/>
              <w:spacing w:lineRule="auto" w:line="240" w:before="0" w:after="0"/>
              <w:ind w:left="0" w:right="0" w:hanging="0"/>
              <w:jc w:val="center"/>
              <w:rPr>
                <w:rFonts w:ascii="Times New Roman" w:hAnsi="Times New Roman" w:eastAsia="Calibri" w:cs="Times New Roman" w:eastAsiaTheme="minorHAnsi"/>
                <w:sz w:val="20"/>
                <w:szCs w:val="20"/>
                <w:lang w:eastAsia="en-US"/>
              </w:rPr>
            </w:pPr>
            <w:r>
              <w:rPr>
                <w:rFonts w:eastAsia="Calibri" w:cs="Times New Roman" w:ascii="Times New Roman" w:hAnsi="Times New Roman" w:eastAsiaTheme="minorHAnsi"/>
                <w:sz w:val="20"/>
                <w:szCs w:val="20"/>
                <w:lang w:eastAsia="en-US"/>
              </w:rPr>
              <w:t>Jedn. Miary</w:t>
            </w:r>
          </w:p>
        </w:tc>
      </w:tr>
      <w:tr>
        <w:trPr>
          <w:trHeight w:val="255" w:hRule="atLeast"/>
        </w:trPr>
        <w:tc>
          <w:tcPr>
            <w:tcW w:w="506" w:type="dxa"/>
            <w:tcBorders>
              <w:top w:val="single" w:sz="4" w:space="0" w:color="000000"/>
              <w:left w:val="single" w:sz="8" w:space="0" w:color="000000"/>
              <w:bottom w:val="single" w:sz="4" w:space="0" w:color="000000"/>
              <w:right w:val="single" w:sz="4" w:space="0" w:color="000000"/>
            </w:tcBorders>
            <w:shd w:color="auto" w:fill="F2F2F2" w:val="clear"/>
            <w:vAlign w:val="center"/>
          </w:tcPr>
          <w:p>
            <w:pPr>
              <w:pStyle w:val="Normal"/>
              <w:numPr>
                <w:ilvl w:val="1"/>
                <w:numId w:val="12"/>
              </w:numPr>
              <w:spacing w:lineRule="auto" w:line="240" w:before="0" w:after="0"/>
              <w:ind w:left="360" w:right="0" w:hanging="360"/>
              <w:contextualSpacing/>
              <w:jc w:val="left"/>
              <w:rPr>
                <w:rFonts w:ascii="Times New Roman" w:hAnsi="Times New Roman" w:eastAsia="Times New Roman"/>
                <w:sz w:val="20"/>
                <w:szCs w:val="20"/>
                <w:lang w:eastAsia="en-US"/>
              </w:rPr>
            </w:pPr>
            <w:r>
              <w:rPr>
                <w:rFonts w:eastAsia="Times New Roman" w:ascii="Times New Roman" w:hAnsi="Times New Roman"/>
                <w:sz w:val="20"/>
                <w:szCs w:val="20"/>
                <w:lang w:eastAsia="en-US"/>
              </w:rPr>
            </w:r>
          </w:p>
        </w:tc>
        <w:tc>
          <w:tcPr>
            <w:tcW w:w="3822" w:type="dxa"/>
            <w:tcBorders>
              <w:top w:val="single" w:sz="4" w:space="0" w:color="000000"/>
              <w:left w:val="single" w:sz="4" w:space="0" w:color="000000"/>
              <w:bottom w:val="single" w:sz="4" w:space="0" w:color="000000"/>
              <w:right w:val="single" w:sz="4" w:space="0" w:color="000000"/>
            </w:tcBorders>
            <w:shd w:color="auto" w:fill="F2F2F2" w:val="clear"/>
            <w:vAlign w:val="center"/>
          </w:tcPr>
          <w:p>
            <w:pPr>
              <w:pStyle w:val="Normal"/>
              <w:spacing w:lineRule="auto" w:line="240" w:before="0" w:after="0"/>
              <w:ind w:left="0" w:right="0" w:hanging="0"/>
              <w:jc w:val="left"/>
              <w:rPr>
                <w:rFonts w:ascii="Times New Roman" w:hAnsi="Times New Roman" w:eastAsia="Calibri" w:cs="Times New Roman" w:eastAsiaTheme="minorHAnsi"/>
                <w:sz w:val="20"/>
                <w:lang w:eastAsia="en-US"/>
              </w:rPr>
            </w:pPr>
            <w:r>
              <w:rPr>
                <w:rFonts w:eastAsia="Calibri" w:cs="Times New Roman" w:ascii="Times New Roman" w:hAnsi="Times New Roman" w:eastAsiaTheme="minorHAnsi"/>
                <w:sz w:val="20"/>
                <w:lang w:eastAsia="en-US"/>
              </w:rPr>
              <w:t>Macierz</w:t>
            </w:r>
          </w:p>
        </w:tc>
        <w:tc>
          <w:tcPr>
            <w:tcW w:w="551" w:type="dxa"/>
            <w:tcBorders>
              <w:top w:val="single" w:sz="4" w:space="0" w:color="000000"/>
              <w:left w:val="single" w:sz="4" w:space="0" w:color="000000"/>
              <w:bottom w:val="single" w:sz="4" w:space="0" w:color="000000"/>
              <w:right w:val="single" w:sz="4" w:space="0" w:color="000000"/>
            </w:tcBorders>
            <w:shd w:color="auto" w:fill="F2F2F2" w:val="clear"/>
            <w:vAlign w:val="center"/>
          </w:tcPr>
          <w:p>
            <w:pPr>
              <w:pStyle w:val="Normal"/>
              <w:spacing w:lineRule="auto" w:line="240" w:before="0" w:after="0"/>
              <w:ind w:left="0" w:right="0" w:hanging="0"/>
              <w:jc w:val="center"/>
              <w:rPr>
                <w:rFonts w:ascii="Times New Roman" w:hAnsi="Times New Roman" w:eastAsia="Calibri" w:cs="Times New Roman" w:eastAsiaTheme="minorHAnsi"/>
                <w:sz w:val="20"/>
                <w:lang w:eastAsia="en-US"/>
              </w:rPr>
            </w:pPr>
            <w:r>
              <w:rPr>
                <w:rFonts w:eastAsia="Calibri" w:cs="Times New Roman" w:ascii="Times New Roman" w:hAnsi="Times New Roman" w:eastAsiaTheme="minorHAnsi"/>
                <w:sz w:val="20"/>
                <w:lang w:eastAsia="en-US"/>
              </w:rPr>
              <w:t>1</w:t>
            </w:r>
          </w:p>
        </w:tc>
        <w:tc>
          <w:tcPr>
            <w:tcW w:w="628" w:type="dxa"/>
            <w:tcBorders>
              <w:top w:val="single" w:sz="4" w:space="0" w:color="000000"/>
              <w:left w:val="single" w:sz="4" w:space="0" w:color="000000"/>
              <w:bottom w:val="single" w:sz="4" w:space="0" w:color="000000"/>
              <w:right w:val="single" w:sz="4" w:space="0" w:color="000000"/>
            </w:tcBorders>
            <w:shd w:color="auto" w:fill="F2F2F2" w:val="clear"/>
          </w:tcPr>
          <w:p>
            <w:pPr>
              <w:pStyle w:val="Normal"/>
              <w:spacing w:lineRule="auto" w:line="240" w:before="0" w:after="0"/>
              <w:ind w:left="0" w:right="0" w:hanging="0"/>
              <w:jc w:val="center"/>
              <w:rPr>
                <w:rFonts w:ascii="Times New Roman" w:hAnsi="Times New Roman" w:eastAsia="Calibri" w:cs="Times New Roman" w:eastAsiaTheme="minorHAnsi"/>
                <w:sz w:val="20"/>
                <w:lang w:eastAsia="en-US"/>
              </w:rPr>
            </w:pPr>
            <w:r>
              <w:rPr>
                <w:rFonts w:eastAsia="Calibri" w:cs="Times New Roman" w:ascii="Times New Roman" w:hAnsi="Times New Roman" w:eastAsiaTheme="minorHAnsi"/>
                <w:sz w:val="20"/>
                <w:lang w:eastAsia="en-US"/>
              </w:rPr>
              <w:t>Szt.</w:t>
            </w:r>
          </w:p>
        </w:tc>
      </w:tr>
      <w:tr>
        <w:trPr>
          <w:trHeight w:val="255" w:hRule="atLeast"/>
        </w:trPr>
        <w:tc>
          <w:tcPr>
            <w:tcW w:w="506" w:type="dxa"/>
            <w:tcBorders>
              <w:top w:val="single" w:sz="4" w:space="0" w:color="000000"/>
              <w:left w:val="single" w:sz="8" w:space="0" w:color="000000"/>
              <w:bottom w:val="single" w:sz="4" w:space="0" w:color="000000"/>
              <w:right w:val="single" w:sz="4" w:space="0" w:color="000000"/>
            </w:tcBorders>
            <w:shd w:color="auto" w:fill="F2F2F2" w:val="clear"/>
            <w:vAlign w:val="center"/>
          </w:tcPr>
          <w:p>
            <w:pPr>
              <w:pStyle w:val="Normal"/>
              <w:numPr>
                <w:ilvl w:val="1"/>
                <w:numId w:val="12"/>
              </w:numPr>
              <w:spacing w:lineRule="auto" w:line="240" w:before="0" w:after="0"/>
              <w:ind w:left="360" w:right="0" w:hanging="360"/>
              <w:contextualSpacing/>
              <w:jc w:val="left"/>
              <w:rPr>
                <w:rFonts w:ascii="Times New Roman" w:hAnsi="Times New Roman" w:eastAsia="Times New Roman"/>
                <w:sz w:val="20"/>
                <w:szCs w:val="20"/>
                <w:lang w:eastAsia="en-US"/>
              </w:rPr>
            </w:pPr>
            <w:r>
              <w:rPr>
                <w:rFonts w:eastAsia="Times New Roman" w:ascii="Times New Roman" w:hAnsi="Times New Roman"/>
                <w:sz w:val="20"/>
                <w:szCs w:val="20"/>
                <w:lang w:eastAsia="en-US"/>
              </w:rPr>
            </w:r>
          </w:p>
        </w:tc>
        <w:tc>
          <w:tcPr>
            <w:tcW w:w="3822" w:type="dxa"/>
            <w:tcBorders>
              <w:top w:val="single" w:sz="4" w:space="0" w:color="000000"/>
              <w:left w:val="single" w:sz="4" w:space="0" w:color="000000"/>
              <w:bottom w:val="single" w:sz="4" w:space="0" w:color="000000"/>
              <w:right w:val="single" w:sz="4" w:space="0" w:color="000000"/>
            </w:tcBorders>
            <w:shd w:color="auto" w:fill="F2F2F2" w:val="clear"/>
            <w:vAlign w:val="center"/>
          </w:tcPr>
          <w:p>
            <w:pPr>
              <w:pStyle w:val="Normal"/>
              <w:spacing w:lineRule="auto" w:line="240" w:before="0" w:after="0"/>
              <w:ind w:left="0" w:right="0" w:hanging="0"/>
              <w:jc w:val="left"/>
              <w:rPr>
                <w:rFonts w:ascii="Times New Roman" w:hAnsi="Times New Roman" w:eastAsia="Calibri" w:cs="Times New Roman" w:eastAsiaTheme="minorHAnsi"/>
                <w:sz w:val="20"/>
                <w:lang w:eastAsia="en-US"/>
              </w:rPr>
            </w:pPr>
            <w:r>
              <w:rPr>
                <w:rFonts w:eastAsia="Calibri" w:cs="Times New Roman" w:ascii="Times New Roman" w:hAnsi="Times New Roman" w:eastAsiaTheme="minorHAnsi"/>
                <w:sz w:val="20"/>
                <w:lang w:eastAsia="en-US"/>
              </w:rPr>
              <w:t xml:space="preserve">Serwer </w:t>
            </w:r>
          </w:p>
        </w:tc>
        <w:tc>
          <w:tcPr>
            <w:tcW w:w="551" w:type="dxa"/>
            <w:tcBorders>
              <w:top w:val="single" w:sz="4" w:space="0" w:color="000000"/>
              <w:left w:val="single" w:sz="4" w:space="0" w:color="000000"/>
              <w:bottom w:val="single" w:sz="4" w:space="0" w:color="000000"/>
              <w:right w:val="single" w:sz="4" w:space="0" w:color="000000"/>
            </w:tcBorders>
            <w:shd w:color="auto" w:fill="F2F2F2" w:val="clear"/>
            <w:vAlign w:val="center"/>
          </w:tcPr>
          <w:p>
            <w:pPr>
              <w:pStyle w:val="Normal"/>
              <w:spacing w:lineRule="auto" w:line="240" w:before="0" w:after="0"/>
              <w:ind w:left="0" w:right="0" w:hanging="0"/>
              <w:jc w:val="center"/>
              <w:rPr>
                <w:rFonts w:ascii="Times New Roman" w:hAnsi="Times New Roman" w:eastAsia="Calibri" w:cs="Times New Roman" w:eastAsiaTheme="minorHAnsi"/>
                <w:sz w:val="20"/>
                <w:lang w:eastAsia="en-US"/>
              </w:rPr>
            </w:pPr>
            <w:r>
              <w:rPr>
                <w:rFonts w:eastAsia="Calibri" w:cs="Times New Roman" w:ascii="Times New Roman" w:hAnsi="Times New Roman" w:eastAsiaTheme="minorHAnsi"/>
                <w:sz w:val="20"/>
                <w:lang w:eastAsia="en-US"/>
              </w:rPr>
              <w:t>2</w:t>
            </w:r>
          </w:p>
        </w:tc>
        <w:tc>
          <w:tcPr>
            <w:tcW w:w="628" w:type="dxa"/>
            <w:tcBorders>
              <w:top w:val="single" w:sz="4" w:space="0" w:color="000000"/>
              <w:left w:val="single" w:sz="4" w:space="0" w:color="000000"/>
              <w:bottom w:val="single" w:sz="4" w:space="0" w:color="000000"/>
              <w:right w:val="single" w:sz="4" w:space="0" w:color="000000"/>
            </w:tcBorders>
            <w:shd w:color="auto" w:fill="F2F2F2" w:val="clear"/>
            <w:vAlign w:val="center"/>
          </w:tcPr>
          <w:p>
            <w:pPr>
              <w:pStyle w:val="Normal"/>
              <w:spacing w:lineRule="auto" w:line="240" w:before="0" w:after="0"/>
              <w:ind w:left="0" w:right="0" w:hanging="0"/>
              <w:jc w:val="center"/>
              <w:rPr>
                <w:rFonts w:ascii="Times New Roman" w:hAnsi="Times New Roman" w:eastAsia="Calibri" w:cs="Times New Roman" w:eastAsiaTheme="minorHAnsi"/>
                <w:sz w:val="20"/>
                <w:lang w:eastAsia="en-US"/>
              </w:rPr>
            </w:pPr>
            <w:r>
              <w:rPr>
                <w:rFonts w:eastAsia="Calibri" w:cs="Times New Roman" w:ascii="Times New Roman" w:hAnsi="Times New Roman" w:eastAsiaTheme="minorHAnsi"/>
                <w:sz w:val="20"/>
                <w:lang w:eastAsia="en-US"/>
              </w:rPr>
              <w:t>Szt.</w:t>
            </w:r>
          </w:p>
        </w:tc>
      </w:tr>
      <w:tr>
        <w:trPr>
          <w:trHeight w:val="255" w:hRule="atLeast"/>
        </w:trPr>
        <w:tc>
          <w:tcPr>
            <w:tcW w:w="506" w:type="dxa"/>
            <w:tcBorders>
              <w:top w:val="single" w:sz="4" w:space="0" w:color="000000"/>
              <w:left w:val="single" w:sz="8" w:space="0" w:color="000000"/>
              <w:bottom w:val="single" w:sz="4" w:space="0" w:color="000000"/>
              <w:right w:val="single" w:sz="4" w:space="0" w:color="000000"/>
            </w:tcBorders>
            <w:shd w:color="auto" w:fill="F2F2F2" w:val="clear"/>
            <w:vAlign w:val="center"/>
          </w:tcPr>
          <w:p>
            <w:pPr>
              <w:pStyle w:val="Normal"/>
              <w:numPr>
                <w:ilvl w:val="1"/>
                <w:numId w:val="12"/>
              </w:numPr>
              <w:spacing w:lineRule="auto" w:line="240" w:before="0" w:after="0"/>
              <w:ind w:left="360" w:right="0" w:hanging="360"/>
              <w:contextualSpacing/>
              <w:jc w:val="left"/>
              <w:rPr>
                <w:rFonts w:ascii="Times New Roman" w:hAnsi="Times New Roman" w:eastAsia="Times New Roman"/>
                <w:sz w:val="20"/>
                <w:szCs w:val="20"/>
                <w:lang w:eastAsia="en-US"/>
              </w:rPr>
            </w:pPr>
            <w:r>
              <w:rPr>
                <w:rFonts w:eastAsia="Times New Roman" w:ascii="Times New Roman" w:hAnsi="Times New Roman"/>
                <w:sz w:val="20"/>
                <w:szCs w:val="20"/>
                <w:lang w:eastAsia="en-US"/>
              </w:rPr>
            </w:r>
          </w:p>
        </w:tc>
        <w:tc>
          <w:tcPr>
            <w:tcW w:w="3822" w:type="dxa"/>
            <w:tcBorders>
              <w:top w:val="single" w:sz="4" w:space="0" w:color="000000"/>
              <w:left w:val="single" w:sz="4" w:space="0" w:color="000000"/>
              <w:bottom w:val="single" w:sz="4" w:space="0" w:color="000000"/>
              <w:right w:val="single" w:sz="4" w:space="0" w:color="000000"/>
            </w:tcBorders>
            <w:shd w:color="auto" w:fill="F2F2F2" w:val="clear"/>
            <w:vAlign w:val="center"/>
          </w:tcPr>
          <w:p>
            <w:pPr>
              <w:pStyle w:val="Normal"/>
              <w:spacing w:lineRule="auto" w:line="240" w:before="0" w:after="0"/>
              <w:ind w:left="0" w:right="0" w:hanging="0"/>
              <w:jc w:val="left"/>
              <w:rPr>
                <w:rFonts w:ascii="Times New Roman" w:hAnsi="Times New Roman" w:eastAsia="Calibri" w:cs="Times New Roman" w:eastAsiaTheme="minorHAnsi"/>
                <w:sz w:val="20"/>
                <w:lang w:eastAsia="en-US"/>
              </w:rPr>
            </w:pPr>
            <w:r>
              <w:rPr>
                <w:rFonts w:eastAsia="Calibri" w:cs="Times New Roman" w:ascii="Times New Roman" w:hAnsi="Times New Roman" w:eastAsiaTheme="minorHAnsi"/>
                <w:sz w:val="20"/>
                <w:szCs w:val="20"/>
                <w:lang w:eastAsia="en-US"/>
              </w:rPr>
              <w:t>Licencje systemów operacyjnych</w:t>
            </w:r>
          </w:p>
        </w:tc>
        <w:tc>
          <w:tcPr>
            <w:tcW w:w="551" w:type="dxa"/>
            <w:tcBorders>
              <w:top w:val="single" w:sz="4" w:space="0" w:color="000000"/>
              <w:left w:val="single" w:sz="4" w:space="0" w:color="000000"/>
              <w:bottom w:val="single" w:sz="4" w:space="0" w:color="000000"/>
              <w:right w:val="single" w:sz="4" w:space="0" w:color="000000"/>
            </w:tcBorders>
            <w:shd w:color="auto" w:fill="F2F2F2" w:val="clear"/>
            <w:vAlign w:val="center"/>
          </w:tcPr>
          <w:p>
            <w:pPr>
              <w:pStyle w:val="Normal"/>
              <w:spacing w:lineRule="auto" w:line="240" w:before="0" w:after="0"/>
              <w:ind w:left="0" w:right="0" w:hanging="0"/>
              <w:jc w:val="center"/>
              <w:rPr>
                <w:rFonts w:ascii="Times New Roman" w:hAnsi="Times New Roman" w:eastAsia="Calibri" w:cs="Times New Roman" w:eastAsiaTheme="minorHAnsi"/>
                <w:sz w:val="20"/>
                <w:lang w:eastAsia="en-US"/>
              </w:rPr>
            </w:pPr>
            <w:r>
              <w:rPr>
                <w:rFonts w:eastAsia="Calibri" w:cs="Times New Roman" w:ascii="Times New Roman" w:hAnsi="Times New Roman" w:eastAsiaTheme="minorHAnsi"/>
                <w:sz w:val="20"/>
                <w:lang w:eastAsia="en-US"/>
              </w:rPr>
              <w:t>4</w:t>
            </w:r>
          </w:p>
        </w:tc>
        <w:tc>
          <w:tcPr>
            <w:tcW w:w="628" w:type="dxa"/>
            <w:tcBorders>
              <w:top w:val="single" w:sz="4" w:space="0" w:color="000000"/>
              <w:left w:val="single" w:sz="4" w:space="0" w:color="000000"/>
              <w:bottom w:val="single" w:sz="4" w:space="0" w:color="000000"/>
              <w:right w:val="single" w:sz="4" w:space="0" w:color="000000"/>
            </w:tcBorders>
            <w:shd w:color="auto" w:fill="F2F2F2" w:val="clear"/>
          </w:tcPr>
          <w:p>
            <w:pPr>
              <w:pStyle w:val="Normal"/>
              <w:spacing w:lineRule="auto" w:line="240" w:before="0" w:after="0"/>
              <w:ind w:left="0" w:right="0" w:hanging="0"/>
              <w:jc w:val="center"/>
              <w:rPr>
                <w:rFonts w:ascii="Times New Roman" w:hAnsi="Times New Roman" w:eastAsia="Calibri" w:cs="Times New Roman" w:eastAsiaTheme="minorHAnsi"/>
                <w:sz w:val="20"/>
                <w:lang w:eastAsia="en-US"/>
              </w:rPr>
            </w:pPr>
            <w:r>
              <w:rPr>
                <w:rFonts w:eastAsia="Calibri" w:cs="Times New Roman" w:ascii="Times New Roman" w:hAnsi="Times New Roman" w:eastAsiaTheme="minorHAnsi"/>
                <w:sz w:val="20"/>
                <w:lang w:eastAsia="en-US"/>
              </w:rPr>
              <w:t>Szt.</w:t>
            </w:r>
          </w:p>
        </w:tc>
      </w:tr>
      <w:tr>
        <w:trPr>
          <w:trHeight w:val="255" w:hRule="atLeast"/>
        </w:trPr>
        <w:tc>
          <w:tcPr>
            <w:tcW w:w="506" w:type="dxa"/>
            <w:tcBorders>
              <w:top w:val="single" w:sz="4" w:space="0" w:color="000000"/>
              <w:left w:val="single" w:sz="8" w:space="0" w:color="000000"/>
              <w:bottom w:val="single" w:sz="4" w:space="0" w:color="000000"/>
              <w:right w:val="single" w:sz="4" w:space="0" w:color="000000"/>
            </w:tcBorders>
            <w:shd w:color="auto" w:fill="F2F2F2" w:val="clear"/>
            <w:vAlign w:val="center"/>
          </w:tcPr>
          <w:p>
            <w:pPr>
              <w:pStyle w:val="Normal"/>
              <w:numPr>
                <w:ilvl w:val="1"/>
                <w:numId w:val="12"/>
              </w:numPr>
              <w:spacing w:lineRule="auto" w:line="240" w:before="0" w:after="0"/>
              <w:ind w:left="360" w:right="0" w:hanging="360"/>
              <w:contextualSpacing/>
              <w:jc w:val="left"/>
              <w:rPr>
                <w:rFonts w:ascii="Times New Roman" w:hAnsi="Times New Roman" w:eastAsia="Times New Roman"/>
                <w:sz w:val="20"/>
                <w:szCs w:val="20"/>
                <w:lang w:eastAsia="en-US"/>
              </w:rPr>
            </w:pPr>
            <w:r>
              <w:rPr>
                <w:rFonts w:eastAsia="Times New Roman" w:ascii="Times New Roman" w:hAnsi="Times New Roman"/>
                <w:sz w:val="20"/>
                <w:szCs w:val="20"/>
                <w:lang w:eastAsia="en-US"/>
              </w:rPr>
            </w:r>
          </w:p>
        </w:tc>
        <w:tc>
          <w:tcPr>
            <w:tcW w:w="3822" w:type="dxa"/>
            <w:tcBorders>
              <w:top w:val="single" w:sz="4" w:space="0" w:color="000000"/>
              <w:left w:val="single" w:sz="4" w:space="0" w:color="000000"/>
              <w:bottom w:val="single" w:sz="4" w:space="0" w:color="000000"/>
              <w:right w:val="single" w:sz="4" w:space="0" w:color="000000"/>
            </w:tcBorders>
            <w:shd w:color="auto" w:fill="F2F2F2" w:val="clear"/>
            <w:vAlign w:val="center"/>
          </w:tcPr>
          <w:p>
            <w:pPr>
              <w:pStyle w:val="Normal"/>
              <w:spacing w:lineRule="auto" w:line="240" w:before="0" w:after="0"/>
              <w:ind w:left="0" w:right="0" w:hanging="0"/>
              <w:jc w:val="left"/>
              <w:rPr>
                <w:rFonts w:ascii="Times New Roman" w:hAnsi="Times New Roman" w:eastAsia="Calibri" w:cs="Times New Roman" w:eastAsiaTheme="minorHAnsi"/>
                <w:sz w:val="20"/>
                <w:lang w:eastAsia="en-US"/>
              </w:rPr>
            </w:pPr>
            <w:r>
              <w:rPr>
                <w:rFonts w:eastAsia="Calibri" w:cs="Times New Roman" w:ascii="Times New Roman" w:hAnsi="Times New Roman" w:eastAsiaTheme="minorHAnsi"/>
                <w:sz w:val="20"/>
                <w:szCs w:val="20"/>
                <w:lang w:eastAsia="en-US"/>
              </w:rPr>
              <w:t>Licencje CAL</w:t>
            </w:r>
          </w:p>
        </w:tc>
        <w:tc>
          <w:tcPr>
            <w:tcW w:w="551" w:type="dxa"/>
            <w:tcBorders>
              <w:top w:val="single" w:sz="4" w:space="0" w:color="000000"/>
              <w:left w:val="single" w:sz="4" w:space="0" w:color="000000"/>
              <w:bottom w:val="single" w:sz="4" w:space="0" w:color="000000"/>
              <w:right w:val="single" w:sz="4" w:space="0" w:color="000000"/>
            </w:tcBorders>
            <w:shd w:color="auto" w:fill="F2F2F2" w:val="clear"/>
            <w:vAlign w:val="center"/>
          </w:tcPr>
          <w:p>
            <w:pPr>
              <w:pStyle w:val="Normal"/>
              <w:spacing w:lineRule="auto" w:line="240" w:before="0" w:after="0"/>
              <w:ind w:left="0" w:right="0" w:hanging="0"/>
              <w:jc w:val="center"/>
              <w:rPr>
                <w:rFonts w:ascii="Times New Roman" w:hAnsi="Times New Roman" w:eastAsia="Calibri" w:cs="Times New Roman" w:eastAsiaTheme="minorHAnsi"/>
                <w:sz w:val="20"/>
                <w:lang w:eastAsia="en-US"/>
              </w:rPr>
            </w:pPr>
            <w:r>
              <w:rPr>
                <w:rFonts w:eastAsia="Calibri" w:cs="Times New Roman" w:ascii="Times New Roman" w:hAnsi="Times New Roman" w:eastAsiaTheme="minorHAnsi"/>
                <w:sz w:val="20"/>
                <w:lang w:eastAsia="en-US"/>
              </w:rPr>
              <w:t>85</w:t>
            </w:r>
          </w:p>
        </w:tc>
        <w:tc>
          <w:tcPr>
            <w:tcW w:w="628" w:type="dxa"/>
            <w:tcBorders>
              <w:top w:val="single" w:sz="4" w:space="0" w:color="000000"/>
              <w:left w:val="single" w:sz="4" w:space="0" w:color="000000"/>
              <w:bottom w:val="single" w:sz="4" w:space="0" w:color="000000"/>
              <w:right w:val="single" w:sz="4" w:space="0" w:color="000000"/>
            </w:tcBorders>
            <w:shd w:color="auto" w:fill="F2F2F2" w:val="clear"/>
          </w:tcPr>
          <w:p>
            <w:pPr>
              <w:pStyle w:val="Normal"/>
              <w:spacing w:lineRule="auto" w:line="240" w:before="0" w:after="0"/>
              <w:ind w:left="0" w:right="0" w:hanging="0"/>
              <w:jc w:val="center"/>
              <w:rPr>
                <w:rFonts w:ascii="Times New Roman" w:hAnsi="Times New Roman" w:eastAsia="Calibri" w:cs="Times New Roman" w:eastAsiaTheme="minorHAnsi"/>
                <w:sz w:val="20"/>
                <w:lang w:eastAsia="en-US"/>
              </w:rPr>
            </w:pPr>
            <w:r>
              <w:rPr>
                <w:rFonts w:eastAsia="Calibri" w:cs="Times New Roman" w:ascii="Times New Roman" w:hAnsi="Times New Roman" w:eastAsiaTheme="minorHAnsi"/>
                <w:sz w:val="20"/>
                <w:lang w:eastAsia="en-US"/>
              </w:rPr>
              <w:t>Szt.</w:t>
            </w:r>
          </w:p>
        </w:tc>
      </w:tr>
      <w:tr>
        <w:trPr>
          <w:trHeight w:val="255" w:hRule="atLeast"/>
        </w:trPr>
        <w:tc>
          <w:tcPr>
            <w:tcW w:w="506" w:type="dxa"/>
            <w:tcBorders>
              <w:top w:val="single" w:sz="4" w:space="0" w:color="000000"/>
              <w:left w:val="single" w:sz="8" w:space="0" w:color="000000"/>
              <w:bottom w:val="single" w:sz="4" w:space="0" w:color="000000"/>
              <w:right w:val="single" w:sz="4" w:space="0" w:color="000000"/>
            </w:tcBorders>
            <w:shd w:color="auto" w:fill="F2F2F2" w:val="clear"/>
            <w:vAlign w:val="center"/>
          </w:tcPr>
          <w:p>
            <w:pPr>
              <w:pStyle w:val="Normal"/>
              <w:numPr>
                <w:ilvl w:val="1"/>
                <w:numId w:val="12"/>
              </w:numPr>
              <w:spacing w:lineRule="auto" w:line="240" w:before="0" w:after="0"/>
              <w:ind w:left="360" w:right="0" w:hanging="360"/>
              <w:contextualSpacing/>
              <w:jc w:val="left"/>
              <w:rPr>
                <w:rFonts w:ascii="Times New Roman" w:hAnsi="Times New Roman" w:eastAsia="Times New Roman"/>
                <w:sz w:val="20"/>
                <w:szCs w:val="20"/>
                <w:lang w:eastAsia="en-US"/>
              </w:rPr>
            </w:pPr>
            <w:r>
              <w:rPr>
                <w:rFonts w:eastAsia="Times New Roman" w:ascii="Times New Roman" w:hAnsi="Times New Roman"/>
                <w:sz w:val="20"/>
                <w:szCs w:val="20"/>
                <w:lang w:eastAsia="en-US"/>
              </w:rPr>
            </w:r>
          </w:p>
        </w:tc>
        <w:tc>
          <w:tcPr>
            <w:tcW w:w="3822" w:type="dxa"/>
            <w:tcBorders>
              <w:top w:val="single" w:sz="4" w:space="0" w:color="000000"/>
              <w:left w:val="single" w:sz="4" w:space="0" w:color="000000"/>
              <w:bottom w:val="single" w:sz="4" w:space="0" w:color="000000"/>
              <w:right w:val="single" w:sz="4" w:space="0" w:color="000000"/>
            </w:tcBorders>
            <w:shd w:color="auto" w:fill="F2F2F2" w:val="clear"/>
            <w:vAlign w:val="center"/>
          </w:tcPr>
          <w:p>
            <w:pPr>
              <w:pStyle w:val="Normal"/>
              <w:spacing w:lineRule="auto" w:line="240" w:before="0" w:after="0"/>
              <w:ind w:left="0" w:right="0" w:hanging="0"/>
              <w:jc w:val="left"/>
              <w:rPr>
                <w:rFonts w:ascii="Times New Roman" w:hAnsi="Times New Roman" w:eastAsia="Calibri" w:cs="Times New Roman" w:eastAsiaTheme="minorHAnsi"/>
                <w:sz w:val="20"/>
                <w:lang w:eastAsia="en-US"/>
              </w:rPr>
            </w:pPr>
            <w:r>
              <w:rPr>
                <w:rFonts w:eastAsia="Calibri" w:cs="Times New Roman" w:ascii="Times New Roman" w:hAnsi="Times New Roman" w:eastAsiaTheme="minorHAnsi"/>
                <w:sz w:val="20"/>
                <w:lang w:eastAsia="en-US"/>
              </w:rPr>
              <w:t>Licencje TCAL</w:t>
            </w:r>
          </w:p>
        </w:tc>
        <w:tc>
          <w:tcPr>
            <w:tcW w:w="551" w:type="dxa"/>
            <w:tcBorders>
              <w:top w:val="single" w:sz="4" w:space="0" w:color="000000"/>
              <w:left w:val="single" w:sz="4" w:space="0" w:color="000000"/>
              <w:bottom w:val="single" w:sz="4" w:space="0" w:color="000000"/>
              <w:right w:val="single" w:sz="4" w:space="0" w:color="000000"/>
            </w:tcBorders>
            <w:shd w:color="auto" w:fill="F2F2F2" w:val="clear"/>
            <w:vAlign w:val="center"/>
          </w:tcPr>
          <w:p>
            <w:pPr>
              <w:pStyle w:val="Normal"/>
              <w:spacing w:lineRule="auto" w:line="240" w:before="0" w:after="0"/>
              <w:ind w:left="0" w:right="0" w:hanging="0"/>
              <w:jc w:val="center"/>
              <w:rPr>
                <w:rFonts w:ascii="Times New Roman" w:hAnsi="Times New Roman" w:eastAsia="Calibri" w:cs="Times New Roman" w:eastAsiaTheme="minorHAnsi"/>
                <w:sz w:val="20"/>
                <w:lang w:eastAsia="en-US"/>
              </w:rPr>
            </w:pPr>
            <w:r>
              <w:rPr>
                <w:rFonts w:eastAsia="Calibri" w:cs="Times New Roman" w:ascii="Times New Roman" w:hAnsi="Times New Roman" w:eastAsiaTheme="minorHAnsi"/>
                <w:sz w:val="20"/>
                <w:lang w:eastAsia="en-US"/>
              </w:rPr>
              <w:t>10</w:t>
            </w:r>
          </w:p>
        </w:tc>
        <w:tc>
          <w:tcPr>
            <w:tcW w:w="628" w:type="dxa"/>
            <w:tcBorders>
              <w:top w:val="single" w:sz="4" w:space="0" w:color="000000"/>
              <w:left w:val="single" w:sz="4" w:space="0" w:color="000000"/>
              <w:bottom w:val="single" w:sz="4" w:space="0" w:color="000000"/>
              <w:right w:val="single" w:sz="4" w:space="0" w:color="000000"/>
            </w:tcBorders>
            <w:shd w:color="auto" w:fill="F2F2F2" w:val="clear"/>
          </w:tcPr>
          <w:p>
            <w:pPr>
              <w:pStyle w:val="Normal"/>
              <w:spacing w:lineRule="auto" w:line="240" w:before="0" w:after="0"/>
              <w:ind w:left="0" w:right="0" w:hanging="0"/>
              <w:jc w:val="center"/>
              <w:rPr>
                <w:rFonts w:ascii="Times New Roman" w:hAnsi="Times New Roman" w:eastAsia="Calibri" w:cs="Times New Roman" w:eastAsiaTheme="minorHAnsi"/>
                <w:sz w:val="20"/>
                <w:lang w:eastAsia="en-US"/>
              </w:rPr>
            </w:pPr>
            <w:r>
              <w:rPr>
                <w:rFonts w:eastAsia="Calibri" w:cs="Times New Roman" w:ascii="Times New Roman" w:hAnsi="Times New Roman" w:eastAsiaTheme="minorHAnsi"/>
                <w:sz w:val="20"/>
                <w:lang w:eastAsia="en-US"/>
              </w:rPr>
              <w:t>Szt.</w:t>
            </w:r>
          </w:p>
        </w:tc>
      </w:tr>
      <w:tr>
        <w:trPr>
          <w:trHeight w:val="255" w:hRule="atLeast"/>
        </w:trPr>
        <w:tc>
          <w:tcPr>
            <w:tcW w:w="506" w:type="dxa"/>
            <w:tcBorders>
              <w:top w:val="single" w:sz="4" w:space="0" w:color="000000"/>
              <w:left w:val="single" w:sz="8" w:space="0" w:color="000000"/>
              <w:bottom w:val="single" w:sz="4" w:space="0" w:color="000000"/>
              <w:right w:val="single" w:sz="4" w:space="0" w:color="000000"/>
            </w:tcBorders>
            <w:shd w:color="auto" w:fill="F2F2F2" w:val="clear"/>
            <w:vAlign w:val="center"/>
          </w:tcPr>
          <w:p>
            <w:pPr>
              <w:pStyle w:val="Normal"/>
              <w:numPr>
                <w:ilvl w:val="1"/>
                <w:numId w:val="12"/>
              </w:numPr>
              <w:spacing w:lineRule="auto" w:line="240" w:before="0" w:after="0"/>
              <w:ind w:left="360" w:right="0" w:hanging="360"/>
              <w:contextualSpacing/>
              <w:jc w:val="left"/>
              <w:rPr>
                <w:rFonts w:ascii="Times New Roman" w:hAnsi="Times New Roman" w:eastAsia="Times New Roman"/>
                <w:sz w:val="20"/>
                <w:szCs w:val="20"/>
                <w:lang w:eastAsia="en-US"/>
              </w:rPr>
            </w:pPr>
            <w:r>
              <w:rPr>
                <w:rFonts w:eastAsia="Times New Roman" w:ascii="Times New Roman" w:hAnsi="Times New Roman"/>
                <w:sz w:val="20"/>
                <w:szCs w:val="20"/>
                <w:lang w:eastAsia="en-US"/>
              </w:rPr>
            </w:r>
          </w:p>
        </w:tc>
        <w:tc>
          <w:tcPr>
            <w:tcW w:w="3822" w:type="dxa"/>
            <w:tcBorders>
              <w:top w:val="single" w:sz="4" w:space="0" w:color="000000"/>
              <w:left w:val="single" w:sz="4" w:space="0" w:color="000000"/>
              <w:bottom w:val="single" w:sz="4" w:space="0" w:color="000000"/>
              <w:right w:val="single" w:sz="4" w:space="0" w:color="000000"/>
            </w:tcBorders>
            <w:shd w:color="auto" w:fill="F2F2F2" w:val="clear"/>
            <w:vAlign w:val="center"/>
          </w:tcPr>
          <w:p>
            <w:pPr>
              <w:pStyle w:val="Normal"/>
              <w:spacing w:lineRule="auto" w:line="240" w:before="0" w:after="0"/>
              <w:ind w:left="0" w:right="0" w:hanging="0"/>
              <w:jc w:val="left"/>
              <w:rPr>
                <w:rFonts w:ascii="Times New Roman" w:hAnsi="Times New Roman" w:eastAsia="Calibri" w:cs="Times New Roman" w:eastAsiaTheme="minorHAnsi"/>
                <w:sz w:val="20"/>
                <w:lang w:eastAsia="en-US"/>
              </w:rPr>
            </w:pPr>
            <w:r>
              <w:rPr>
                <w:rFonts w:eastAsia="Calibri" w:cs="Times New Roman" w:ascii="Times New Roman" w:hAnsi="Times New Roman" w:eastAsiaTheme="minorHAnsi"/>
                <w:sz w:val="20"/>
                <w:lang w:eastAsia="en-US"/>
              </w:rPr>
              <w:t>Zasilacz awaryjny (UPS)</w:t>
            </w:r>
          </w:p>
        </w:tc>
        <w:tc>
          <w:tcPr>
            <w:tcW w:w="551" w:type="dxa"/>
            <w:tcBorders>
              <w:top w:val="single" w:sz="4" w:space="0" w:color="000000"/>
              <w:left w:val="single" w:sz="4" w:space="0" w:color="000000"/>
              <w:bottom w:val="single" w:sz="4" w:space="0" w:color="000000"/>
              <w:right w:val="single" w:sz="4" w:space="0" w:color="000000"/>
            </w:tcBorders>
            <w:shd w:color="auto" w:fill="F2F2F2" w:val="clear"/>
            <w:vAlign w:val="center"/>
          </w:tcPr>
          <w:p>
            <w:pPr>
              <w:pStyle w:val="Normal"/>
              <w:spacing w:lineRule="auto" w:line="240" w:before="0" w:after="0"/>
              <w:ind w:left="0" w:right="0" w:hanging="0"/>
              <w:jc w:val="center"/>
              <w:rPr>
                <w:rFonts w:ascii="Times New Roman" w:hAnsi="Times New Roman" w:eastAsia="Calibri" w:cs="Times New Roman" w:eastAsiaTheme="minorHAnsi"/>
                <w:sz w:val="20"/>
                <w:lang w:eastAsia="en-US"/>
              </w:rPr>
            </w:pPr>
            <w:r>
              <w:rPr>
                <w:rFonts w:eastAsia="Calibri" w:cs="Times New Roman" w:ascii="Times New Roman" w:hAnsi="Times New Roman" w:eastAsiaTheme="minorHAnsi"/>
                <w:sz w:val="20"/>
                <w:lang w:eastAsia="en-US"/>
              </w:rPr>
              <w:t>2</w:t>
            </w:r>
          </w:p>
        </w:tc>
        <w:tc>
          <w:tcPr>
            <w:tcW w:w="628" w:type="dxa"/>
            <w:tcBorders>
              <w:top w:val="single" w:sz="4" w:space="0" w:color="000000"/>
              <w:left w:val="single" w:sz="4" w:space="0" w:color="000000"/>
              <w:bottom w:val="single" w:sz="4" w:space="0" w:color="000000"/>
              <w:right w:val="single" w:sz="4" w:space="0" w:color="000000"/>
            </w:tcBorders>
            <w:shd w:color="auto" w:fill="F2F2F2" w:val="clear"/>
          </w:tcPr>
          <w:p>
            <w:pPr>
              <w:pStyle w:val="Normal"/>
              <w:spacing w:lineRule="auto" w:line="276" w:before="0" w:after="0"/>
              <w:ind w:left="0" w:right="0" w:hanging="0"/>
              <w:jc w:val="center"/>
              <w:rPr>
                <w:rFonts w:ascii="Times New Roman" w:hAnsi="Times New Roman" w:eastAsia="Calibri" w:cs="Times New Roman" w:eastAsiaTheme="minorHAnsi"/>
                <w:color w:val="auto"/>
                <w:sz w:val="20"/>
                <w:lang w:eastAsia="en-US"/>
              </w:rPr>
            </w:pPr>
            <w:r>
              <w:rPr>
                <w:rFonts w:eastAsia="Calibri" w:cs="Times New Roman" w:ascii="Times New Roman" w:hAnsi="Times New Roman" w:eastAsiaTheme="minorHAnsi"/>
                <w:sz w:val="20"/>
                <w:lang w:eastAsia="en-US"/>
              </w:rPr>
              <w:t>Szt.</w:t>
            </w:r>
          </w:p>
        </w:tc>
      </w:tr>
      <w:tr>
        <w:trPr>
          <w:trHeight w:val="255" w:hRule="atLeast"/>
        </w:trPr>
        <w:tc>
          <w:tcPr>
            <w:tcW w:w="506" w:type="dxa"/>
            <w:tcBorders>
              <w:top w:val="single" w:sz="4" w:space="0" w:color="000000"/>
              <w:left w:val="single" w:sz="8" w:space="0" w:color="000000"/>
              <w:bottom w:val="single" w:sz="4" w:space="0" w:color="000000"/>
              <w:right w:val="single" w:sz="4" w:space="0" w:color="000000"/>
            </w:tcBorders>
            <w:shd w:color="auto" w:fill="F2F2F2" w:val="clear"/>
            <w:vAlign w:val="center"/>
          </w:tcPr>
          <w:p>
            <w:pPr>
              <w:pStyle w:val="Normal"/>
              <w:numPr>
                <w:ilvl w:val="1"/>
                <w:numId w:val="12"/>
              </w:numPr>
              <w:spacing w:lineRule="auto" w:line="240" w:before="0" w:after="0"/>
              <w:ind w:left="360" w:right="0" w:hanging="360"/>
              <w:contextualSpacing/>
              <w:jc w:val="left"/>
              <w:rPr>
                <w:rFonts w:ascii="Times New Roman" w:hAnsi="Times New Roman" w:eastAsia="Times New Roman"/>
                <w:sz w:val="20"/>
                <w:szCs w:val="20"/>
                <w:lang w:eastAsia="en-US"/>
              </w:rPr>
            </w:pPr>
            <w:r>
              <w:rPr>
                <w:rFonts w:eastAsia="Times New Roman" w:ascii="Times New Roman" w:hAnsi="Times New Roman"/>
                <w:sz w:val="20"/>
                <w:szCs w:val="20"/>
                <w:lang w:eastAsia="en-US"/>
              </w:rPr>
            </w:r>
          </w:p>
        </w:tc>
        <w:tc>
          <w:tcPr>
            <w:tcW w:w="3822" w:type="dxa"/>
            <w:tcBorders>
              <w:top w:val="single" w:sz="4" w:space="0" w:color="000000"/>
              <w:left w:val="single" w:sz="4" w:space="0" w:color="000000"/>
              <w:bottom w:val="single" w:sz="4" w:space="0" w:color="000000"/>
              <w:right w:val="single" w:sz="4" w:space="0" w:color="000000"/>
            </w:tcBorders>
            <w:shd w:color="auto" w:fill="F2F2F2" w:val="clear"/>
            <w:vAlign w:val="center"/>
          </w:tcPr>
          <w:p>
            <w:pPr>
              <w:pStyle w:val="Normal"/>
              <w:spacing w:lineRule="auto" w:line="240" w:before="0" w:after="0"/>
              <w:ind w:left="0" w:right="0" w:hanging="0"/>
              <w:jc w:val="left"/>
              <w:rPr>
                <w:rFonts w:ascii="Times New Roman" w:hAnsi="Times New Roman" w:eastAsia="Calibri" w:cs="Times New Roman" w:eastAsiaTheme="minorHAnsi"/>
                <w:sz w:val="20"/>
                <w:lang w:eastAsia="en-US"/>
              </w:rPr>
            </w:pPr>
            <w:r>
              <w:rPr>
                <w:rFonts w:eastAsia="Calibri" w:cs="Times New Roman" w:ascii="Times New Roman" w:hAnsi="Times New Roman" w:eastAsiaTheme="minorHAnsi"/>
                <w:sz w:val="20"/>
                <w:lang w:eastAsia="en-US"/>
              </w:rPr>
              <w:t>Dysk sieciowy</w:t>
            </w:r>
          </w:p>
        </w:tc>
        <w:tc>
          <w:tcPr>
            <w:tcW w:w="551" w:type="dxa"/>
            <w:tcBorders>
              <w:top w:val="single" w:sz="4" w:space="0" w:color="000000"/>
              <w:left w:val="single" w:sz="4" w:space="0" w:color="000000"/>
              <w:bottom w:val="single" w:sz="4" w:space="0" w:color="000000"/>
              <w:right w:val="single" w:sz="4" w:space="0" w:color="000000"/>
            </w:tcBorders>
            <w:shd w:color="auto" w:fill="F2F2F2" w:val="clear"/>
            <w:vAlign w:val="center"/>
          </w:tcPr>
          <w:p>
            <w:pPr>
              <w:pStyle w:val="Normal"/>
              <w:spacing w:lineRule="auto" w:line="240" w:before="0" w:after="0"/>
              <w:ind w:left="0" w:right="0" w:hanging="0"/>
              <w:jc w:val="center"/>
              <w:rPr>
                <w:rFonts w:ascii="Times New Roman" w:hAnsi="Times New Roman" w:eastAsia="Calibri" w:cs="Times New Roman" w:eastAsiaTheme="minorHAnsi"/>
                <w:sz w:val="20"/>
                <w:lang w:eastAsia="en-US"/>
              </w:rPr>
            </w:pPr>
            <w:r>
              <w:rPr>
                <w:rFonts w:eastAsia="Calibri" w:cs="Times New Roman" w:ascii="Times New Roman" w:hAnsi="Times New Roman" w:eastAsiaTheme="minorHAnsi"/>
                <w:sz w:val="20"/>
                <w:lang w:eastAsia="en-US"/>
              </w:rPr>
              <w:t>1</w:t>
            </w:r>
          </w:p>
        </w:tc>
        <w:tc>
          <w:tcPr>
            <w:tcW w:w="628" w:type="dxa"/>
            <w:tcBorders>
              <w:top w:val="single" w:sz="4" w:space="0" w:color="000000"/>
              <w:left w:val="single" w:sz="4" w:space="0" w:color="000000"/>
              <w:bottom w:val="single" w:sz="4" w:space="0" w:color="000000"/>
              <w:right w:val="single" w:sz="4" w:space="0" w:color="000000"/>
            </w:tcBorders>
            <w:shd w:color="auto" w:fill="F2F2F2" w:val="clear"/>
          </w:tcPr>
          <w:p>
            <w:pPr>
              <w:pStyle w:val="Normal"/>
              <w:spacing w:lineRule="auto" w:line="276" w:before="0" w:after="0"/>
              <w:ind w:left="0" w:right="0" w:hanging="0"/>
              <w:jc w:val="center"/>
              <w:rPr>
                <w:rFonts w:ascii="Times New Roman" w:hAnsi="Times New Roman" w:eastAsia="Calibri" w:cs="Times New Roman" w:eastAsiaTheme="minorHAnsi"/>
                <w:color w:val="auto"/>
                <w:sz w:val="20"/>
                <w:lang w:eastAsia="en-US"/>
              </w:rPr>
            </w:pPr>
            <w:r>
              <w:rPr>
                <w:rFonts w:eastAsia="Calibri" w:cs="Times New Roman" w:ascii="Times New Roman" w:hAnsi="Times New Roman" w:eastAsiaTheme="minorHAnsi"/>
                <w:sz w:val="20"/>
                <w:lang w:eastAsia="en-US"/>
              </w:rPr>
              <w:t>Szt.</w:t>
            </w:r>
          </w:p>
        </w:tc>
      </w:tr>
      <w:tr>
        <w:trPr>
          <w:trHeight w:val="255" w:hRule="atLeast"/>
        </w:trPr>
        <w:tc>
          <w:tcPr>
            <w:tcW w:w="506" w:type="dxa"/>
            <w:tcBorders>
              <w:top w:val="single" w:sz="4" w:space="0" w:color="000000"/>
              <w:left w:val="single" w:sz="8" w:space="0" w:color="000000"/>
              <w:bottom w:val="single" w:sz="4" w:space="0" w:color="000000"/>
              <w:right w:val="single" w:sz="4" w:space="0" w:color="000000"/>
            </w:tcBorders>
            <w:shd w:color="auto" w:fill="F2F2F2" w:val="clear"/>
            <w:vAlign w:val="center"/>
          </w:tcPr>
          <w:p>
            <w:pPr>
              <w:pStyle w:val="Normal"/>
              <w:numPr>
                <w:ilvl w:val="1"/>
                <w:numId w:val="12"/>
              </w:numPr>
              <w:spacing w:lineRule="auto" w:line="240" w:before="0" w:after="0"/>
              <w:ind w:left="360" w:right="0" w:hanging="360"/>
              <w:contextualSpacing/>
              <w:jc w:val="left"/>
              <w:rPr>
                <w:rFonts w:ascii="Times New Roman" w:hAnsi="Times New Roman" w:eastAsia="Times New Roman"/>
                <w:sz w:val="20"/>
                <w:szCs w:val="20"/>
                <w:lang w:eastAsia="en-US"/>
              </w:rPr>
            </w:pPr>
            <w:r>
              <w:rPr>
                <w:rFonts w:eastAsia="Times New Roman" w:ascii="Times New Roman" w:hAnsi="Times New Roman"/>
                <w:sz w:val="20"/>
                <w:szCs w:val="20"/>
                <w:lang w:eastAsia="en-US"/>
              </w:rPr>
            </w:r>
          </w:p>
        </w:tc>
        <w:tc>
          <w:tcPr>
            <w:tcW w:w="3822" w:type="dxa"/>
            <w:tcBorders>
              <w:top w:val="single" w:sz="4" w:space="0" w:color="000000"/>
              <w:left w:val="single" w:sz="4" w:space="0" w:color="000000"/>
              <w:bottom w:val="single" w:sz="4" w:space="0" w:color="000000"/>
              <w:right w:val="single" w:sz="4" w:space="0" w:color="000000"/>
            </w:tcBorders>
            <w:shd w:color="auto" w:fill="F2F2F2" w:val="clear"/>
            <w:vAlign w:val="center"/>
          </w:tcPr>
          <w:p>
            <w:pPr>
              <w:pStyle w:val="Normal"/>
              <w:spacing w:lineRule="auto" w:line="240" w:before="0" w:after="0"/>
              <w:ind w:left="0" w:right="0" w:hanging="0"/>
              <w:jc w:val="left"/>
              <w:rPr>
                <w:rFonts w:ascii="Times New Roman" w:hAnsi="Times New Roman" w:eastAsia="Calibri" w:cs="Times New Roman" w:eastAsiaTheme="minorHAnsi"/>
                <w:sz w:val="20"/>
                <w:lang w:eastAsia="en-US"/>
              </w:rPr>
            </w:pPr>
            <w:r>
              <w:rPr>
                <w:rFonts w:eastAsia="Calibri" w:cs="Times New Roman" w:ascii="Times New Roman" w:hAnsi="Times New Roman" w:eastAsiaTheme="minorHAnsi"/>
                <w:sz w:val="20"/>
                <w:lang w:eastAsia="en-US"/>
              </w:rPr>
              <w:t>Komputer stacjonarny</w:t>
            </w:r>
          </w:p>
        </w:tc>
        <w:tc>
          <w:tcPr>
            <w:tcW w:w="551" w:type="dxa"/>
            <w:tcBorders>
              <w:top w:val="single" w:sz="4" w:space="0" w:color="000000"/>
              <w:left w:val="single" w:sz="4" w:space="0" w:color="000000"/>
              <w:bottom w:val="single" w:sz="4" w:space="0" w:color="000000"/>
              <w:right w:val="single" w:sz="4" w:space="0" w:color="000000"/>
            </w:tcBorders>
            <w:shd w:color="auto" w:fill="F2F2F2" w:val="clear"/>
            <w:vAlign w:val="center"/>
          </w:tcPr>
          <w:p>
            <w:pPr>
              <w:pStyle w:val="Normal"/>
              <w:spacing w:lineRule="auto" w:line="240" w:before="0" w:after="0"/>
              <w:ind w:left="0" w:right="0" w:hanging="0"/>
              <w:jc w:val="center"/>
              <w:rPr>
                <w:rFonts w:ascii="Times New Roman" w:hAnsi="Times New Roman" w:eastAsia="Calibri" w:cs="Times New Roman" w:eastAsiaTheme="minorHAnsi"/>
                <w:sz w:val="20"/>
                <w:lang w:eastAsia="en-US"/>
              </w:rPr>
            </w:pPr>
            <w:r>
              <w:rPr>
                <w:rFonts w:eastAsia="Calibri" w:cs="Times New Roman" w:ascii="Times New Roman" w:hAnsi="Times New Roman" w:eastAsiaTheme="minorHAnsi"/>
                <w:sz w:val="20"/>
                <w:lang w:eastAsia="en-US"/>
              </w:rPr>
              <w:t>57</w:t>
            </w:r>
          </w:p>
        </w:tc>
        <w:tc>
          <w:tcPr>
            <w:tcW w:w="628" w:type="dxa"/>
            <w:tcBorders>
              <w:top w:val="single" w:sz="4" w:space="0" w:color="000000"/>
              <w:left w:val="single" w:sz="4" w:space="0" w:color="000000"/>
              <w:bottom w:val="single" w:sz="4" w:space="0" w:color="000000"/>
              <w:right w:val="single" w:sz="4" w:space="0" w:color="000000"/>
            </w:tcBorders>
            <w:shd w:color="auto" w:fill="F2F2F2" w:val="clear"/>
          </w:tcPr>
          <w:p>
            <w:pPr>
              <w:pStyle w:val="Normal"/>
              <w:spacing w:lineRule="auto" w:line="276" w:before="0" w:after="0"/>
              <w:ind w:left="0" w:right="0" w:hanging="0"/>
              <w:jc w:val="center"/>
              <w:rPr>
                <w:rFonts w:ascii="Times New Roman" w:hAnsi="Times New Roman" w:eastAsia="Calibri" w:cs="Times New Roman" w:eastAsiaTheme="minorHAnsi"/>
                <w:sz w:val="20"/>
                <w:lang w:eastAsia="en-US"/>
              </w:rPr>
            </w:pPr>
            <w:r>
              <w:rPr>
                <w:rFonts w:eastAsia="Calibri" w:cs="Times New Roman" w:ascii="Times New Roman" w:hAnsi="Times New Roman" w:eastAsiaTheme="minorHAnsi"/>
                <w:sz w:val="20"/>
                <w:lang w:eastAsia="en-US"/>
              </w:rPr>
              <w:t>Szt.</w:t>
            </w:r>
          </w:p>
        </w:tc>
      </w:tr>
      <w:tr>
        <w:trPr>
          <w:trHeight w:val="255" w:hRule="atLeast"/>
        </w:trPr>
        <w:tc>
          <w:tcPr>
            <w:tcW w:w="506" w:type="dxa"/>
            <w:tcBorders>
              <w:top w:val="single" w:sz="4" w:space="0" w:color="000000"/>
              <w:left w:val="single" w:sz="8" w:space="0" w:color="000000"/>
              <w:bottom w:val="single" w:sz="4" w:space="0" w:color="000000"/>
              <w:right w:val="single" w:sz="4" w:space="0" w:color="000000"/>
            </w:tcBorders>
            <w:shd w:color="auto" w:fill="F2F2F2" w:val="clear"/>
            <w:vAlign w:val="center"/>
          </w:tcPr>
          <w:p>
            <w:pPr>
              <w:pStyle w:val="Normal"/>
              <w:numPr>
                <w:ilvl w:val="1"/>
                <w:numId w:val="12"/>
              </w:numPr>
              <w:spacing w:lineRule="auto" w:line="240" w:before="0" w:after="0"/>
              <w:ind w:left="360" w:right="0" w:hanging="360"/>
              <w:contextualSpacing/>
              <w:jc w:val="left"/>
              <w:rPr>
                <w:rFonts w:ascii="Times New Roman" w:hAnsi="Times New Roman" w:eastAsia="Times New Roman"/>
                <w:sz w:val="20"/>
                <w:szCs w:val="20"/>
                <w:lang w:eastAsia="en-US"/>
              </w:rPr>
            </w:pPr>
            <w:r>
              <w:rPr>
                <w:rFonts w:eastAsia="Times New Roman" w:ascii="Times New Roman" w:hAnsi="Times New Roman"/>
                <w:sz w:val="20"/>
                <w:szCs w:val="20"/>
                <w:lang w:eastAsia="en-US"/>
              </w:rPr>
            </w:r>
          </w:p>
        </w:tc>
        <w:tc>
          <w:tcPr>
            <w:tcW w:w="3822" w:type="dxa"/>
            <w:tcBorders>
              <w:top w:val="single" w:sz="4" w:space="0" w:color="000000"/>
              <w:left w:val="single" w:sz="4" w:space="0" w:color="000000"/>
              <w:bottom w:val="single" w:sz="4" w:space="0" w:color="000000"/>
              <w:right w:val="single" w:sz="4" w:space="0" w:color="000000"/>
            </w:tcBorders>
            <w:shd w:color="auto" w:fill="F2F2F2" w:val="clear"/>
            <w:vAlign w:val="center"/>
          </w:tcPr>
          <w:p>
            <w:pPr>
              <w:pStyle w:val="Normal"/>
              <w:spacing w:lineRule="auto" w:line="240" w:before="0" w:after="0"/>
              <w:ind w:left="0" w:right="0" w:hanging="0"/>
              <w:jc w:val="left"/>
              <w:rPr>
                <w:rFonts w:ascii="Times New Roman" w:hAnsi="Times New Roman" w:eastAsia="Calibri" w:cs="Times New Roman" w:eastAsiaTheme="minorHAnsi"/>
                <w:sz w:val="20"/>
                <w:lang w:eastAsia="en-US"/>
              </w:rPr>
            </w:pPr>
            <w:r>
              <w:rPr>
                <w:rFonts w:eastAsia="Calibri" w:cs="Times New Roman" w:ascii="Times New Roman" w:hAnsi="Times New Roman" w:eastAsiaTheme="minorHAnsi"/>
                <w:sz w:val="20"/>
                <w:lang w:eastAsia="en-US"/>
              </w:rPr>
              <w:t>Monitor do zestawu komputerowego</w:t>
            </w:r>
          </w:p>
        </w:tc>
        <w:tc>
          <w:tcPr>
            <w:tcW w:w="551" w:type="dxa"/>
            <w:tcBorders>
              <w:top w:val="single" w:sz="4" w:space="0" w:color="000000"/>
              <w:left w:val="single" w:sz="4" w:space="0" w:color="000000"/>
              <w:bottom w:val="single" w:sz="4" w:space="0" w:color="000000"/>
              <w:right w:val="single" w:sz="4" w:space="0" w:color="000000"/>
            </w:tcBorders>
            <w:shd w:color="auto" w:fill="F2F2F2" w:val="clear"/>
            <w:vAlign w:val="center"/>
          </w:tcPr>
          <w:p>
            <w:pPr>
              <w:pStyle w:val="Normal"/>
              <w:spacing w:lineRule="auto" w:line="240" w:before="0" w:after="0"/>
              <w:ind w:left="0" w:right="0" w:hanging="0"/>
              <w:jc w:val="center"/>
              <w:rPr>
                <w:rFonts w:ascii="Times New Roman" w:hAnsi="Times New Roman" w:eastAsia="Calibri" w:cs="Times New Roman" w:eastAsiaTheme="minorHAnsi"/>
                <w:sz w:val="20"/>
                <w:lang w:eastAsia="en-US"/>
              </w:rPr>
            </w:pPr>
            <w:r>
              <w:rPr>
                <w:rFonts w:eastAsia="Calibri" w:cs="Times New Roman" w:ascii="Times New Roman" w:hAnsi="Times New Roman" w:eastAsiaTheme="minorHAnsi"/>
                <w:sz w:val="20"/>
                <w:lang w:eastAsia="en-US"/>
              </w:rPr>
              <w:t>57</w:t>
            </w:r>
          </w:p>
        </w:tc>
        <w:tc>
          <w:tcPr>
            <w:tcW w:w="628" w:type="dxa"/>
            <w:tcBorders>
              <w:top w:val="single" w:sz="4" w:space="0" w:color="000000"/>
              <w:left w:val="single" w:sz="4" w:space="0" w:color="000000"/>
              <w:bottom w:val="single" w:sz="4" w:space="0" w:color="000000"/>
              <w:right w:val="single" w:sz="4" w:space="0" w:color="000000"/>
            </w:tcBorders>
            <w:shd w:color="auto" w:fill="F2F2F2" w:val="clear"/>
          </w:tcPr>
          <w:p>
            <w:pPr>
              <w:pStyle w:val="Normal"/>
              <w:spacing w:lineRule="auto" w:line="276" w:before="0" w:after="0"/>
              <w:ind w:left="0" w:right="0" w:hanging="0"/>
              <w:jc w:val="center"/>
              <w:rPr>
                <w:rFonts w:ascii="Times New Roman" w:hAnsi="Times New Roman" w:eastAsia="Calibri" w:cs="Times New Roman" w:eastAsiaTheme="minorHAnsi"/>
                <w:sz w:val="20"/>
                <w:lang w:eastAsia="en-US"/>
              </w:rPr>
            </w:pPr>
            <w:r>
              <w:rPr>
                <w:rFonts w:eastAsia="Calibri" w:cs="Times New Roman" w:ascii="Times New Roman" w:hAnsi="Times New Roman" w:eastAsiaTheme="minorHAnsi"/>
                <w:sz w:val="20"/>
                <w:lang w:eastAsia="en-US"/>
              </w:rPr>
              <w:t>Szt.</w:t>
            </w:r>
          </w:p>
        </w:tc>
      </w:tr>
      <w:tr>
        <w:trPr>
          <w:trHeight w:val="255" w:hRule="atLeast"/>
        </w:trPr>
        <w:tc>
          <w:tcPr>
            <w:tcW w:w="506" w:type="dxa"/>
            <w:tcBorders>
              <w:top w:val="single" w:sz="4" w:space="0" w:color="000000"/>
              <w:left w:val="single" w:sz="8" w:space="0" w:color="000000"/>
              <w:bottom w:val="single" w:sz="4" w:space="0" w:color="000000"/>
              <w:right w:val="single" w:sz="4" w:space="0" w:color="000000"/>
            </w:tcBorders>
            <w:shd w:color="auto" w:fill="F2F2F2" w:val="clear"/>
            <w:vAlign w:val="center"/>
          </w:tcPr>
          <w:p>
            <w:pPr>
              <w:pStyle w:val="Normal"/>
              <w:numPr>
                <w:ilvl w:val="1"/>
                <w:numId w:val="12"/>
              </w:numPr>
              <w:spacing w:lineRule="auto" w:line="240" w:before="0" w:after="0"/>
              <w:ind w:left="360" w:right="0" w:hanging="360"/>
              <w:contextualSpacing/>
              <w:jc w:val="left"/>
              <w:rPr>
                <w:rFonts w:ascii="Times New Roman" w:hAnsi="Times New Roman" w:eastAsia="Times New Roman"/>
                <w:sz w:val="20"/>
                <w:szCs w:val="20"/>
                <w:lang w:eastAsia="en-US"/>
              </w:rPr>
            </w:pPr>
            <w:r>
              <w:rPr>
                <w:rFonts w:eastAsia="Times New Roman" w:ascii="Times New Roman" w:hAnsi="Times New Roman"/>
                <w:sz w:val="20"/>
                <w:szCs w:val="20"/>
                <w:lang w:eastAsia="en-US"/>
              </w:rPr>
            </w:r>
          </w:p>
        </w:tc>
        <w:tc>
          <w:tcPr>
            <w:tcW w:w="3822" w:type="dxa"/>
            <w:tcBorders>
              <w:top w:val="single" w:sz="4" w:space="0" w:color="000000"/>
              <w:left w:val="single" w:sz="4" w:space="0" w:color="000000"/>
              <w:bottom w:val="single" w:sz="4" w:space="0" w:color="000000"/>
              <w:right w:val="single" w:sz="4" w:space="0" w:color="000000"/>
            </w:tcBorders>
            <w:shd w:color="auto" w:fill="F2F2F2" w:val="clear"/>
            <w:vAlign w:val="center"/>
          </w:tcPr>
          <w:p>
            <w:pPr>
              <w:pStyle w:val="Normal"/>
              <w:spacing w:lineRule="auto" w:line="240" w:before="0" w:after="0"/>
              <w:ind w:left="0" w:right="0" w:hanging="0"/>
              <w:jc w:val="left"/>
              <w:rPr>
                <w:rFonts w:ascii="Times New Roman" w:hAnsi="Times New Roman" w:eastAsia="Calibri" w:cs="Times New Roman" w:eastAsiaTheme="minorHAnsi"/>
                <w:sz w:val="20"/>
                <w:lang w:eastAsia="en-US"/>
              </w:rPr>
            </w:pPr>
            <w:r>
              <w:rPr>
                <w:rFonts w:eastAsia="Calibri" w:cs="Times New Roman" w:ascii="Times New Roman" w:hAnsi="Times New Roman" w:eastAsiaTheme="minorHAnsi"/>
                <w:sz w:val="20"/>
                <w:lang w:eastAsia="en-US"/>
              </w:rPr>
              <w:t>Program antywirusowy</w:t>
            </w:r>
          </w:p>
        </w:tc>
        <w:tc>
          <w:tcPr>
            <w:tcW w:w="551" w:type="dxa"/>
            <w:tcBorders>
              <w:top w:val="single" w:sz="4" w:space="0" w:color="000000"/>
              <w:left w:val="single" w:sz="4" w:space="0" w:color="000000"/>
              <w:bottom w:val="single" w:sz="4" w:space="0" w:color="000000"/>
              <w:right w:val="single" w:sz="4" w:space="0" w:color="000000"/>
            </w:tcBorders>
            <w:shd w:color="auto" w:fill="F2F2F2" w:val="clear"/>
            <w:vAlign w:val="center"/>
          </w:tcPr>
          <w:p>
            <w:pPr>
              <w:pStyle w:val="Normal"/>
              <w:spacing w:lineRule="auto" w:line="240" w:before="0" w:after="0"/>
              <w:ind w:left="0" w:right="0" w:hanging="0"/>
              <w:jc w:val="center"/>
              <w:rPr>
                <w:rFonts w:ascii="Times New Roman" w:hAnsi="Times New Roman" w:eastAsia="Calibri" w:cs="Times New Roman" w:eastAsiaTheme="minorHAnsi"/>
                <w:sz w:val="20"/>
                <w:lang w:eastAsia="en-US"/>
              </w:rPr>
            </w:pPr>
            <w:r>
              <w:rPr>
                <w:rFonts w:eastAsia="Calibri" w:cs="Times New Roman" w:ascii="Times New Roman" w:hAnsi="Times New Roman" w:eastAsiaTheme="minorHAnsi"/>
                <w:sz w:val="20"/>
                <w:lang w:eastAsia="en-US"/>
              </w:rPr>
              <w:t>57</w:t>
            </w:r>
          </w:p>
        </w:tc>
        <w:tc>
          <w:tcPr>
            <w:tcW w:w="628" w:type="dxa"/>
            <w:tcBorders>
              <w:top w:val="single" w:sz="4" w:space="0" w:color="000000"/>
              <w:left w:val="single" w:sz="4" w:space="0" w:color="000000"/>
              <w:bottom w:val="single" w:sz="4" w:space="0" w:color="000000"/>
              <w:right w:val="single" w:sz="4" w:space="0" w:color="000000"/>
            </w:tcBorders>
            <w:shd w:color="auto" w:fill="F2F2F2" w:val="clear"/>
          </w:tcPr>
          <w:p>
            <w:pPr>
              <w:pStyle w:val="Normal"/>
              <w:spacing w:lineRule="auto" w:line="276" w:before="0" w:after="0"/>
              <w:ind w:left="0" w:right="0" w:hanging="0"/>
              <w:jc w:val="center"/>
              <w:rPr>
                <w:rFonts w:ascii="Times New Roman" w:hAnsi="Times New Roman" w:eastAsia="Calibri" w:cs="Times New Roman" w:eastAsiaTheme="minorHAnsi"/>
                <w:sz w:val="20"/>
                <w:lang w:eastAsia="en-US"/>
              </w:rPr>
            </w:pPr>
            <w:r>
              <w:rPr>
                <w:rFonts w:eastAsia="Calibri" w:cs="Times New Roman" w:ascii="Times New Roman" w:hAnsi="Times New Roman" w:eastAsiaTheme="minorHAnsi"/>
                <w:sz w:val="20"/>
                <w:lang w:eastAsia="en-US"/>
              </w:rPr>
              <w:t>Szt.</w:t>
            </w:r>
          </w:p>
        </w:tc>
      </w:tr>
      <w:tr>
        <w:trPr>
          <w:trHeight w:val="255" w:hRule="atLeast"/>
        </w:trPr>
        <w:tc>
          <w:tcPr>
            <w:tcW w:w="506" w:type="dxa"/>
            <w:tcBorders>
              <w:top w:val="single" w:sz="4" w:space="0" w:color="000000"/>
              <w:left w:val="single" w:sz="8" w:space="0" w:color="000000"/>
              <w:bottom w:val="single" w:sz="4" w:space="0" w:color="000000"/>
              <w:right w:val="single" w:sz="4" w:space="0" w:color="000000"/>
            </w:tcBorders>
            <w:shd w:color="auto" w:fill="F2F2F2" w:val="clear"/>
            <w:vAlign w:val="center"/>
          </w:tcPr>
          <w:p>
            <w:pPr>
              <w:pStyle w:val="Normal"/>
              <w:numPr>
                <w:ilvl w:val="1"/>
                <w:numId w:val="12"/>
              </w:numPr>
              <w:spacing w:lineRule="auto" w:line="240" w:before="0" w:after="0"/>
              <w:ind w:left="360" w:right="0" w:hanging="360"/>
              <w:contextualSpacing/>
              <w:jc w:val="left"/>
              <w:rPr>
                <w:rFonts w:ascii="Times New Roman" w:hAnsi="Times New Roman" w:eastAsia="Times New Roman"/>
                <w:sz w:val="20"/>
                <w:szCs w:val="20"/>
                <w:lang w:eastAsia="en-US"/>
              </w:rPr>
            </w:pPr>
            <w:r>
              <w:rPr>
                <w:rFonts w:eastAsia="Times New Roman" w:ascii="Times New Roman" w:hAnsi="Times New Roman"/>
                <w:sz w:val="20"/>
                <w:szCs w:val="20"/>
                <w:lang w:eastAsia="en-US"/>
              </w:rPr>
            </w:r>
          </w:p>
        </w:tc>
        <w:tc>
          <w:tcPr>
            <w:tcW w:w="3822" w:type="dxa"/>
            <w:tcBorders>
              <w:top w:val="single" w:sz="4" w:space="0" w:color="000000"/>
              <w:left w:val="single" w:sz="4" w:space="0" w:color="000000"/>
              <w:bottom w:val="single" w:sz="4" w:space="0" w:color="000000"/>
              <w:right w:val="single" w:sz="4" w:space="0" w:color="000000"/>
            </w:tcBorders>
            <w:shd w:color="auto" w:fill="F2F2F2" w:val="clear"/>
            <w:vAlign w:val="center"/>
          </w:tcPr>
          <w:p>
            <w:pPr>
              <w:pStyle w:val="Normal"/>
              <w:spacing w:lineRule="auto" w:line="240" w:before="0" w:after="0"/>
              <w:ind w:left="0" w:right="0" w:hanging="0"/>
              <w:jc w:val="left"/>
              <w:rPr>
                <w:rFonts w:ascii="Times New Roman" w:hAnsi="Times New Roman" w:eastAsia="Calibri" w:cs="Times New Roman" w:eastAsiaTheme="minorHAnsi"/>
                <w:sz w:val="20"/>
                <w:lang w:eastAsia="en-US"/>
              </w:rPr>
            </w:pPr>
            <w:r>
              <w:rPr>
                <w:rFonts w:eastAsia="Calibri" w:cs="Times New Roman" w:ascii="Times New Roman" w:hAnsi="Times New Roman" w:eastAsiaTheme="minorHAnsi"/>
                <w:sz w:val="20"/>
                <w:lang w:eastAsia="en-US"/>
              </w:rPr>
              <w:t>Pakiet biurowy</w:t>
            </w:r>
          </w:p>
        </w:tc>
        <w:tc>
          <w:tcPr>
            <w:tcW w:w="551" w:type="dxa"/>
            <w:tcBorders>
              <w:top w:val="single" w:sz="4" w:space="0" w:color="000000"/>
              <w:left w:val="single" w:sz="4" w:space="0" w:color="000000"/>
              <w:bottom w:val="single" w:sz="4" w:space="0" w:color="000000"/>
              <w:right w:val="single" w:sz="4" w:space="0" w:color="000000"/>
            </w:tcBorders>
            <w:shd w:color="auto" w:fill="F2F2F2" w:val="clear"/>
            <w:vAlign w:val="center"/>
          </w:tcPr>
          <w:p>
            <w:pPr>
              <w:pStyle w:val="Normal"/>
              <w:spacing w:lineRule="auto" w:line="240" w:before="0" w:after="0"/>
              <w:ind w:left="0" w:right="0" w:hanging="0"/>
              <w:jc w:val="center"/>
              <w:rPr>
                <w:rFonts w:ascii="Times New Roman" w:hAnsi="Times New Roman" w:eastAsia="Calibri" w:cs="Times New Roman" w:eastAsiaTheme="minorHAnsi"/>
                <w:sz w:val="20"/>
                <w:lang w:eastAsia="en-US"/>
              </w:rPr>
            </w:pPr>
            <w:r>
              <w:rPr>
                <w:rFonts w:eastAsia="Calibri" w:cs="Times New Roman" w:ascii="Times New Roman" w:hAnsi="Times New Roman" w:eastAsiaTheme="minorHAnsi"/>
                <w:sz w:val="20"/>
                <w:lang w:eastAsia="en-US"/>
              </w:rPr>
              <w:t>57</w:t>
            </w:r>
          </w:p>
        </w:tc>
        <w:tc>
          <w:tcPr>
            <w:tcW w:w="628" w:type="dxa"/>
            <w:tcBorders>
              <w:top w:val="single" w:sz="4" w:space="0" w:color="000000"/>
              <w:left w:val="single" w:sz="4" w:space="0" w:color="000000"/>
              <w:bottom w:val="single" w:sz="4" w:space="0" w:color="000000"/>
              <w:right w:val="single" w:sz="4" w:space="0" w:color="000000"/>
            </w:tcBorders>
            <w:shd w:color="auto" w:fill="F2F2F2" w:val="clear"/>
          </w:tcPr>
          <w:p>
            <w:pPr>
              <w:pStyle w:val="Normal"/>
              <w:spacing w:lineRule="auto" w:line="276" w:before="0" w:after="0"/>
              <w:ind w:left="0" w:right="0" w:hanging="0"/>
              <w:jc w:val="center"/>
              <w:rPr>
                <w:rFonts w:ascii="Times New Roman" w:hAnsi="Times New Roman" w:eastAsia="Calibri" w:cs="Times New Roman" w:eastAsiaTheme="minorHAnsi"/>
                <w:sz w:val="20"/>
                <w:lang w:eastAsia="en-US"/>
              </w:rPr>
            </w:pPr>
            <w:r>
              <w:rPr>
                <w:rFonts w:eastAsia="Calibri" w:cs="Times New Roman" w:ascii="Times New Roman" w:hAnsi="Times New Roman" w:eastAsiaTheme="minorHAnsi"/>
                <w:sz w:val="20"/>
                <w:lang w:eastAsia="en-US"/>
              </w:rPr>
              <w:t>Szt.</w:t>
            </w:r>
          </w:p>
        </w:tc>
      </w:tr>
      <w:tr>
        <w:trPr>
          <w:trHeight w:val="255" w:hRule="atLeast"/>
        </w:trPr>
        <w:tc>
          <w:tcPr>
            <w:tcW w:w="506" w:type="dxa"/>
            <w:tcBorders>
              <w:top w:val="single" w:sz="4" w:space="0" w:color="000000"/>
              <w:left w:val="single" w:sz="8" w:space="0" w:color="000000"/>
              <w:bottom w:val="single" w:sz="4" w:space="0" w:color="000000"/>
              <w:right w:val="single" w:sz="4" w:space="0" w:color="000000"/>
            </w:tcBorders>
            <w:shd w:color="auto" w:fill="F2F2F2" w:val="clear"/>
            <w:vAlign w:val="center"/>
          </w:tcPr>
          <w:p>
            <w:pPr>
              <w:pStyle w:val="Normal"/>
              <w:numPr>
                <w:ilvl w:val="1"/>
                <w:numId w:val="12"/>
              </w:numPr>
              <w:spacing w:lineRule="auto" w:line="240" w:before="0" w:after="0"/>
              <w:ind w:left="360" w:right="0" w:hanging="360"/>
              <w:contextualSpacing/>
              <w:jc w:val="left"/>
              <w:rPr>
                <w:rFonts w:ascii="Times New Roman" w:hAnsi="Times New Roman" w:eastAsia="Times New Roman"/>
                <w:sz w:val="20"/>
                <w:szCs w:val="20"/>
                <w:lang w:eastAsia="en-US"/>
              </w:rPr>
            </w:pPr>
            <w:r>
              <w:rPr>
                <w:rFonts w:eastAsia="Times New Roman" w:ascii="Times New Roman" w:hAnsi="Times New Roman"/>
                <w:sz w:val="20"/>
                <w:szCs w:val="20"/>
                <w:lang w:eastAsia="en-US"/>
              </w:rPr>
            </w:r>
          </w:p>
        </w:tc>
        <w:tc>
          <w:tcPr>
            <w:tcW w:w="3822" w:type="dxa"/>
            <w:tcBorders>
              <w:top w:val="single" w:sz="4" w:space="0" w:color="000000"/>
              <w:left w:val="single" w:sz="4" w:space="0" w:color="000000"/>
              <w:bottom w:val="single" w:sz="4" w:space="0" w:color="000000"/>
              <w:right w:val="single" w:sz="4" w:space="0" w:color="000000"/>
            </w:tcBorders>
            <w:shd w:color="auto" w:fill="F2F2F2" w:val="clear"/>
            <w:vAlign w:val="center"/>
          </w:tcPr>
          <w:p>
            <w:pPr>
              <w:pStyle w:val="Normal"/>
              <w:spacing w:lineRule="auto" w:line="240" w:before="0" w:after="0"/>
              <w:ind w:left="0" w:right="0" w:hanging="0"/>
              <w:jc w:val="left"/>
              <w:rPr>
                <w:rFonts w:ascii="Times New Roman" w:hAnsi="Times New Roman" w:eastAsia="Calibri" w:cs="Times New Roman" w:eastAsiaTheme="minorHAnsi"/>
                <w:sz w:val="20"/>
                <w:lang w:eastAsia="en-US"/>
              </w:rPr>
            </w:pPr>
            <w:r>
              <w:rPr>
                <w:rFonts w:eastAsia="Calibri" w:cs="Times New Roman" w:ascii="Times New Roman" w:hAnsi="Times New Roman" w:eastAsiaTheme="minorHAnsi"/>
                <w:sz w:val="20"/>
                <w:lang w:eastAsia="en-US"/>
              </w:rPr>
              <w:t>Filtry prywatyzujące</w:t>
            </w:r>
          </w:p>
        </w:tc>
        <w:tc>
          <w:tcPr>
            <w:tcW w:w="551" w:type="dxa"/>
            <w:tcBorders>
              <w:top w:val="single" w:sz="4" w:space="0" w:color="000000"/>
              <w:left w:val="single" w:sz="4" w:space="0" w:color="000000"/>
              <w:bottom w:val="single" w:sz="4" w:space="0" w:color="000000"/>
              <w:right w:val="single" w:sz="4" w:space="0" w:color="000000"/>
            </w:tcBorders>
            <w:shd w:color="auto" w:fill="F2F2F2" w:val="clear"/>
            <w:vAlign w:val="center"/>
          </w:tcPr>
          <w:p>
            <w:pPr>
              <w:pStyle w:val="Normal"/>
              <w:spacing w:lineRule="auto" w:line="240" w:before="0" w:after="0"/>
              <w:ind w:left="0" w:right="0" w:hanging="0"/>
              <w:jc w:val="center"/>
              <w:rPr>
                <w:rFonts w:ascii="Times New Roman" w:hAnsi="Times New Roman" w:eastAsia="Calibri" w:cs="Times New Roman" w:eastAsiaTheme="minorHAnsi"/>
                <w:sz w:val="20"/>
                <w:lang w:eastAsia="en-US"/>
              </w:rPr>
            </w:pPr>
            <w:r>
              <w:rPr>
                <w:rFonts w:eastAsia="Calibri" w:cs="Times New Roman" w:ascii="Times New Roman" w:hAnsi="Times New Roman" w:eastAsiaTheme="minorHAnsi"/>
                <w:sz w:val="20"/>
                <w:lang w:eastAsia="en-US"/>
              </w:rPr>
              <w:t>25</w:t>
            </w:r>
          </w:p>
        </w:tc>
        <w:tc>
          <w:tcPr>
            <w:tcW w:w="628" w:type="dxa"/>
            <w:tcBorders>
              <w:top w:val="single" w:sz="4" w:space="0" w:color="000000"/>
              <w:left w:val="single" w:sz="4" w:space="0" w:color="000000"/>
              <w:bottom w:val="single" w:sz="4" w:space="0" w:color="000000"/>
              <w:right w:val="single" w:sz="4" w:space="0" w:color="000000"/>
            </w:tcBorders>
            <w:shd w:color="auto" w:fill="F2F2F2" w:val="clear"/>
          </w:tcPr>
          <w:p>
            <w:pPr>
              <w:pStyle w:val="Normal"/>
              <w:spacing w:lineRule="auto" w:line="276" w:before="0" w:after="0"/>
              <w:ind w:left="0" w:right="0" w:hanging="0"/>
              <w:jc w:val="center"/>
              <w:rPr>
                <w:rFonts w:ascii="Times New Roman" w:hAnsi="Times New Roman" w:eastAsia="Calibri" w:cs="Times New Roman" w:eastAsiaTheme="minorHAnsi"/>
                <w:sz w:val="20"/>
                <w:lang w:eastAsia="en-US"/>
              </w:rPr>
            </w:pPr>
            <w:r>
              <w:rPr>
                <w:rFonts w:eastAsia="Calibri" w:cs="Times New Roman" w:ascii="Times New Roman" w:hAnsi="Times New Roman" w:eastAsiaTheme="minorHAnsi"/>
                <w:sz w:val="20"/>
                <w:lang w:eastAsia="en-US"/>
              </w:rPr>
              <w:t>Szt.</w:t>
            </w:r>
          </w:p>
        </w:tc>
      </w:tr>
      <w:tr>
        <w:trPr>
          <w:trHeight w:val="255" w:hRule="atLeast"/>
        </w:trPr>
        <w:tc>
          <w:tcPr>
            <w:tcW w:w="506" w:type="dxa"/>
            <w:tcBorders>
              <w:top w:val="single" w:sz="4" w:space="0" w:color="000000"/>
              <w:left w:val="single" w:sz="8" w:space="0" w:color="000000"/>
              <w:bottom w:val="single" w:sz="4" w:space="0" w:color="000000"/>
              <w:right w:val="single" w:sz="4" w:space="0" w:color="000000"/>
            </w:tcBorders>
            <w:shd w:color="auto" w:fill="F2F2F2" w:val="clear"/>
            <w:vAlign w:val="center"/>
          </w:tcPr>
          <w:p>
            <w:pPr>
              <w:pStyle w:val="Normal"/>
              <w:numPr>
                <w:ilvl w:val="1"/>
                <w:numId w:val="12"/>
              </w:numPr>
              <w:spacing w:lineRule="auto" w:line="240" w:before="0" w:after="0"/>
              <w:ind w:left="360" w:right="0" w:hanging="360"/>
              <w:contextualSpacing/>
              <w:jc w:val="left"/>
              <w:rPr>
                <w:rFonts w:ascii="Times New Roman" w:hAnsi="Times New Roman" w:eastAsia="Times New Roman"/>
                <w:sz w:val="20"/>
                <w:szCs w:val="20"/>
                <w:lang w:eastAsia="en-US"/>
              </w:rPr>
            </w:pPr>
            <w:r>
              <w:rPr>
                <w:rFonts w:eastAsia="Times New Roman" w:ascii="Times New Roman" w:hAnsi="Times New Roman"/>
                <w:sz w:val="20"/>
                <w:szCs w:val="20"/>
                <w:lang w:eastAsia="en-US"/>
              </w:rPr>
            </w:r>
          </w:p>
        </w:tc>
        <w:tc>
          <w:tcPr>
            <w:tcW w:w="3822" w:type="dxa"/>
            <w:tcBorders>
              <w:top w:val="single" w:sz="4" w:space="0" w:color="000000"/>
              <w:left w:val="single" w:sz="4" w:space="0" w:color="000000"/>
              <w:bottom w:val="single" w:sz="4" w:space="0" w:color="000000"/>
              <w:right w:val="single" w:sz="4" w:space="0" w:color="000000"/>
            </w:tcBorders>
            <w:shd w:color="auto" w:fill="F2F2F2" w:val="clear"/>
            <w:vAlign w:val="center"/>
          </w:tcPr>
          <w:p>
            <w:pPr>
              <w:pStyle w:val="Normal"/>
              <w:spacing w:lineRule="auto" w:line="240" w:before="0" w:after="0"/>
              <w:ind w:left="0" w:right="0" w:hanging="0"/>
              <w:jc w:val="left"/>
              <w:rPr>
                <w:rFonts w:ascii="Times New Roman" w:hAnsi="Times New Roman" w:eastAsia="Calibri" w:cs="Times New Roman" w:eastAsiaTheme="minorHAnsi"/>
                <w:sz w:val="20"/>
                <w:lang w:eastAsia="en-US"/>
              </w:rPr>
            </w:pPr>
            <w:r>
              <w:rPr>
                <w:rFonts w:eastAsia="Calibri" w:cs="Times New Roman" w:ascii="Times New Roman" w:hAnsi="Times New Roman" w:eastAsiaTheme="minorHAnsi"/>
                <w:sz w:val="20"/>
                <w:lang w:eastAsia="en-US"/>
              </w:rPr>
              <w:t>Notebook</w:t>
            </w:r>
          </w:p>
        </w:tc>
        <w:tc>
          <w:tcPr>
            <w:tcW w:w="551" w:type="dxa"/>
            <w:tcBorders>
              <w:top w:val="single" w:sz="4" w:space="0" w:color="000000"/>
              <w:left w:val="single" w:sz="4" w:space="0" w:color="000000"/>
              <w:bottom w:val="single" w:sz="4" w:space="0" w:color="000000"/>
              <w:right w:val="single" w:sz="4" w:space="0" w:color="000000"/>
            </w:tcBorders>
            <w:shd w:color="auto" w:fill="F2F2F2" w:val="clear"/>
            <w:vAlign w:val="center"/>
          </w:tcPr>
          <w:p>
            <w:pPr>
              <w:pStyle w:val="Normal"/>
              <w:spacing w:lineRule="auto" w:line="240" w:before="0" w:after="0"/>
              <w:ind w:left="0" w:right="0" w:hanging="0"/>
              <w:jc w:val="center"/>
              <w:rPr>
                <w:rFonts w:ascii="Times New Roman" w:hAnsi="Times New Roman" w:eastAsia="Calibri" w:cs="Times New Roman" w:eastAsiaTheme="minorHAnsi"/>
                <w:sz w:val="20"/>
                <w:lang w:eastAsia="en-US"/>
              </w:rPr>
            </w:pPr>
            <w:r>
              <w:rPr>
                <w:rFonts w:eastAsia="Calibri" w:cs="Times New Roman" w:ascii="Times New Roman" w:hAnsi="Times New Roman" w:eastAsiaTheme="minorHAnsi"/>
                <w:sz w:val="20"/>
                <w:lang w:eastAsia="en-US"/>
              </w:rPr>
              <w:t>3</w:t>
            </w:r>
          </w:p>
        </w:tc>
        <w:tc>
          <w:tcPr>
            <w:tcW w:w="628" w:type="dxa"/>
            <w:tcBorders>
              <w:top w:val="single" w:sz="4" w:space="0" w:color="000000"/>
              <w:left w:val="single" w:sz="4" w:space="0" w:color="000000"/>
              <w:bottom w:val="single" w:sz="4" w:space="0" w:color="000000"/>
              <w:right w:val="single" w:sz="4" w:space="0" w:color="000000"/>
            </w:tcBorders>
            <w:shd w:color="auto" w:fill="F2F2F2" w:val="clear"/>
          </w:tcPr>
          <w:p>
            <w:pPr>
              <w:pStyle w:val="Normal"/>
              <w:spacing w:lineRule="auto" w:line="276" w:before="0" w:after="0"/>
              <w:ind w:left="0" w:right="0" w:hanging="0"/>
              <w:jc w:val="center"/>
              <w:rPr>
                <w:rFonts w:ascii="Times New Roman" w:hAnsi="Times New Roman" w:eastAsia="Calibri" w:cs="Times New Roman" w:eastAsiaTheme="minorHAnsi"/>
                <w:sz w:val="20"/>
                <w:lang w:eastAsia="en-US"/>
              </w:rPr>
            </w:pPr>
            <w:r>
              <w:rPr>
                <w:rFonts w:eastAsia="Calibri" w:cs="Times New Roman" w:ascii="Times New Roman" w:hAnsi="Times New Roman" w:eastAsiaTheme="minorHAnsi"/>
                <w:sz w:val="20"/>
                <w:lang w:eastAsia="en-US"/>
              </w:rPr>
              <w:t>Szt.</w:t>
            </w:r>
          </w:p>
        </w:tc>
      </w:tr>
      <w:tr>
        <w:trPr>
          <w:trHeight w:val="255" w:hRule="atLeast"/>
        </w:trPr>
        <w:tc>
          <w:tcPr>
            <w:tcW w:w="506" w:type="dxa"/>
            <w:tcBorders>
              <w:top w:val="single" w:sz="4" w:space="0" w:color="000000"/>
              <w:left w:val="single" w:sz="8" w:space="0" w:color="000000"/>
              <w:bottom w:val="single" w:sz="4" w:space="0" w:color="000000"/>
              <w:right w:val="single" w:sz="4" w:space="0" w:color="000000"/>
            </w:tcBorders>
            <w:shd w:color="auto" w:fill="F2F2F2" w:val="clear"/>
            <w:vAlign w:val="center"/>
          </w:tcPr>
          <w:p>
            <w:pPr>
              <w:pStyle w:val="Normal"/>
              <w:numPr>
                <w:ilvl w:val="1"/>
                <w:numId w:val="12"/>
              </w:numPr>
              <w:spacing w:lineRule="auto" w:line="240" w:before="0" w:after="0"/>
              <w:ind w:left="360" w:right="0" w:hanging="360"/>
              <w:contextualSpacing/>
              <w:jc w:val="left"/>
              <w:rPr>
                <w:rFonts w:ascii="Times New Roman" w:hAnsi="Times New Roman" w:eastAsia="Times New Roman"/>
                <w:sz w:val="20"/>
                <w:szCs w:val="20"/>
                <w:lang w:eastAsia="en-US"/>
              </w:rPr>
            </w:pPr>
            <w:r>
              <w:rPr>
                <w:rFonts w:eastAsia="Times New Roman" w:ascii="Times New Roman" w:hAnsi="Times New Roman"/>
                <w:sz w:val="20"/>
                <w:szCs w:val="20"/>
                <w:lang w:eastAsia="en-US"/>
              </w:rPr>
            </w:r>
          </w:p>
        </w:tc>
        <w:tc>
          <w:tcPr>
            <w:tcW w:w="3822" w:type="dxa"/>
            <w:tcBorders>
              <w:top w:val="single" w:sz="4" w:space="0" w:color="000000"/>
              <w:left w:val="single" w:sz="4" w:space="0" w:color="000000"/>
              <w:bottom w:val="single" w:sz="4" w:space="0" w:color="000000"/>
              <w:right w:val="single" w:sz="4" w:space="0" w:color="000000"/>
            </w:tcBorders>
            <w:shd w:color="auto" w:fill="F2F2F2" w:val="clear"/>
            <w:vAlign w:val="center"/>
          </w:tcPr>
          <w:p>
            <w:pPr>
              <w:pStyle w:val="Normal"/>
              <w:spacing w:lineRule="auto" w:line="240" w:before="0" w:after="0"/>
              <w:ind w:left="0" w:right="0" w:hanging="0"/>
              <w:jc w:val="left"/>
              <w:rPr>
                <w:rFonts w:ascii="Times New Roman" w:hAnsi="Times New Roman" w:eastAsia="Calibri" w:cs="Times New Roman" w:eastAsiaTheme="minorHAnsi"/>
                <w:sz w:val="20"/>
                <w:lang w:eastAsia="en-US"/>
              </w:rPr>
            </w:pPr>
            <w:r>
              <w:rPr>
                <w:rFonts w:eastAsia="Calibri" w:cs="Times New Roman" w:ascii="Times New Roman" w:hAnsi="Times New Roman" w:eastAsiaTheme="minorHAnsi"/>
                <w:sz w:val="20"/>
                <w:lang w:eastAsia="en-US"/>
              </w:rPr>
              <w:t>Urządzenie wielofunkcyjne</w:t>
            </w:r>
          </w:p>
        </w:tc>
        <w:tc>
          <w:tcPr>
            <w:tcW w:w="551" w:type="dxa"/>
            <w:tcBorders>
              <w:top w:val="single" w:sz="4" w:space="0" w:color="000000"/>
              <w:left w:val="single" w:sz="4" w:space="0" w:color="000000"/>
              <w:bottom w:val="single" w:sz="4" w:space="0" w:color="000000"/>
              <w:right w:val="single" w:sz="4" w:space="0" w:color="000000"/>
            </w:tcBorders>
            <w:shd w:color="auto" w:fill="F2F2F2" w:val="clear"/>
            <w:vAlign w:val="center"/>
          </w:tcPr>
          <w:p>
            <w:pPr>
              <w:pStyle w:val="Normal"/>
              <w:spacing w:lineRule="auto" w:line="240" w:before="0" w:after="0"/>
              <w:ind w:left="0" w:right="0" w:hanging="0"/>
              <w:jc w:val="center"/>
              <w:rPr>
                <w:rFonts w:ascii="Times New Roman" w:hAnsi="Times New Roman" w:eastAsia="Calibri" w:cs="Times New Roman" w:eastAsiaTheme="minorHAnsi"/>
                <w:sz w:val="20"/>
                <w:lang w:eastAsia="en-US"/>
              </w:rPr>
            </w:pPr>
            <w:r>
              <w:rPr>
                <w:rFonts w:eastAsia="Calibri" w:cs="Times New Roman" w:ascii="Times New Roman" w:hAnsi="Times New Roman" w:eastAsiaTheme="minorHAnsi"/>
                <w:sz w:val="20"/>
                <w:lang w:eastAsia="en-US"/>
              </w:rPr>
              <w:t>37</w:t>
            </w:r>
          </w:p>
        </w:tc>
        <w:tc>
          <w:tcPr>
            <w:tcW w:w="628" w:type="dxa"/>
            <w:tcBorders>
              <w:top w:val="single" w:sz="4" w:space="0" w:color="000000"/>
              <w:left w:val="single" w:sz="4" w:space="0" w:color="000000"/>
              <w:bottom w:val="single" w:sz="4" w:space="0" w:color="000000"/>
              <w:right w:val="single" w:sz="4" w:space="0" w:color="000000"/>
            </w:tcBorders>
            <w:shd w:color="auto" w:fill="F2F2F2" w:val="clear"/>
          </w:tcPr>
          <w:p>
            <w:pPr>
              <w:pStyle w:val="Normal"/>
              <w:spacing w:lineRule="auto" w:line="276" w:before="0" w:after="0"/>
              <w:ind w:left="0" w:right="0" w:hanging="0"/>
              <w:jc w:val="center"/>
              <w:rPr>
                <w:rFonts w:ascii="Times New Roman" w:hAnsi="Times New Roman" w:eastAsia="Calibri" w:cs="Times New Roman" w:eastAsiaTheme="minorHAnsi"/>
                <w:sz w:val="20"/>
                <w:lang w:eastAsia="en-US"/>
              </w:rPr>
            </w:pPr>
            <w:r>
              <w:rPr>
                <w:rFonts w:eastAsia="Calibri" w:cs="Times New Roman" w:ascii="Times New Roman" w:hAnsi="Times New Roman" w:eastAsiaTheme="minorHAnsi"/>
                <w:sz w:val="20"/>
                <w:lang w:eastAsia="en-US"/>
              </w:rPr>
              <w:t>Szt.</w:t>
            </w:r>
          </w:p>
        </w:tc>
      </w:tr>
      <w:tr>
        <w:trPr>
          <w:trHeight w:val="255" w:hRule="atLeast"/>
        </w:trPr>
        <w:tc>
          <w:tcPr>
            <w:tcW w:w="506" w:type="dxa"/>
            <w:tcBorders>
              <w:top w:val="single" w:sz="4" w:space="0" w:color="000000"/>
              <w:left w:val="single" w:sz="8" w:space="0" w:color="000000"/>
              <w:bottom w:val="single" w:sz="4" w:space="0" w:color="000000"/>
              <w:right w:val="single" w:sz="4" w:space="0" w:color="000000"/>
            </w:tcBorders>
            <w:shd w:color="auto" w:fill="F2F2F2" w:val="clear"/>
            <w:vAlign w:val="center"/>
          </w:tcPr>
          <w:p>
            <w:pPr>
              <w:pStyle w:val="Normal"/>
              <w:numPr>
                <w:ilvl w:val="1"/>
                <w:numId w:val="12"/>
              </w:numPr>
              <w:spacing w:lineRule="auto" w:line="240" w:before="0" w:after="0"/>
              <w:ind w:left="360" w:right="0" w:hanging="360"/>
              <w:contextualSpacing/>
              <w:jc w:val="left"/>
              <w:rPr>
                <w:rFonts w:ascii="Times New Roman" w:hAnsi="Times New Roman" w:eastAsia="Times New Roman"/>
                <w:sz w:val="20"/>
                <w:szCs w:val="20"/>
                <w:lang w:eastAsia="en-US"/>
              </w:rPr>
            </w:pPr>
            <w:r>
              <w:rPr>
                <w:rFonts w:eastAsia="Times New Roman" w:ascii="Times New Roman" w:hAnsi="Times New Roman"/>
                <w:sz w:val="20"/>
                <w:szCs w:val="20"/>
                <w:lang w:eastAsia="en-US"/>
              </w:rPr>
            </w:r>
          </w:p>
        </w:tc>
        <w:tc>
          <w:tcPr>
            <w:tcW w:w="3822" w:type="dxa"/>
            <w:tcBorders>
              <w:top w:val="single" w:sz="4" w:space="0" w:color="000000"/>
              <w:left w:val="single" w:sz="4" w:space="0" w:color="000000"/>
              <w:bottom w:val="single" w:sz="4" w:space="0" w:color="000000"/>
              <w:right w:val="single" w:sz="4" w:space="0" w:color="000000"/>
            </w:tcBorders>
            <w:shd w:color="auto" w:fill="F2F2F2" w:val="clear"/>
            <w:vAlign w:val="center"/>
          </w:tcPr>
          <w:p>
            <w:pPr>
              <w:pStyle w:val="Normal"/>
              <w:spacing w:lineRule="auto" w:line="240" w:before="0" w:after="0"/>
              <w:ind w:left="0" w:right="0" w:hanging="0"/>
              <w:jc w:val="left"/>
              <w:rPr>
                <w:rFonts w:ascii="Times New Roman" w:hAnsi="Times New Roman" w:eastAsia="Calibri" w:cs="Times New Roman" w:eastAsiaTheme="minorHAnsi"/>
                <w:sz w:val="20"/>
                <w:lang w:eastAsia="en-US"/>
              </w:rPr>
            </w:pPr>
            <w:r>
              <w:rPr>
                <w:rFonts w:eastAsia="Calibri" w:cs="Times New Roman" w:ascii="Times New Roman" w:hAnsi="Times New Roman" w:eastAsiaTheme="minorHAnsi"/>
                <w:sz w:val="20"/>
                <w:lang w:eastAsia="en-US"/>
              </w:rPr>
              <w:t>Skaner</w:t>
            </w:r>
          </w:p>
        </w:tc>
        <w:tc>
          <w:tcPr>
            <w:tcW w:w="551" w:type="dxa"/>
            <w:tcBorders>
              <w:top w:val="single" w:sz="4" w:space="0" w:color="000000"/>
              <w:left w:val="single" w:sz="4" w:space="0" w:color="000000"/>
              <w:bottom w:val="single" w:sz="4" w:space="0" w:color="000000"/>
              <w:right w:val="single" w:sz="4" w:space="0" w:color="000000"/>
            </w:tcBorders>
            <w:shd w:color="auto" w:fill="F2F2F2" w:val="clear"/>
            <w:vAlign w:val="center"/>
          </w:tcPr>
          <w:p>
            <w:pPr>
              <w:pStyle w:val="Normal"/>
              <w:spacing w:lineRule="auto" w:line="240" w:before="0" w:after="0"/>
              <w:ind w:left="0" w:right="0" w:hanging="0"/>
              <w:jc w:val="center"/>
              <w:rPr>
                <w:rFonts w:ascii="Times New Roman" w:hAnsi="Times New Roman" w:eastAsia="Calibri" w:cs="Times New Roman" w:eastAsiaTheme="minorHAnsi"/>
                <w:sz w:val="20"/>
                <w:lang w:eastAsia="en-US"/>
              </w:rPr>
            </w:pPr>
            <w:r>
              <w:rPr>
                <w:rFonts w:eastAsia="Calibri" w:cs="Times New Roman" w:ascii="Times New Roman" w:hAnsi="Times New Roman" w:eastAsiaTheme="minorHAnsi"/>
                <w:sz w:val="20"/>
                <w:lang w:eastAsia="en-US"/>
              </w:rPr>
              <w:t>2</w:t>
            </w:r>
          </w:p>
        </w:tc>
        <w:tc>
          <w:tcPr>
            <w:tcW w:w="628" w:type="dxa"/>
            <w:tcBorders>
              <w:top w:val="single" w:sz="4" w:space="0" w:color="000000"/>
              <w:left w:val="single" w:sz="4" w:space="0" w:color="000000"/>
              <w:bottom w:val="single" w:sz="4" w:space="0" w:color="000000"/>
              <w:right w:val="single" w:sz="4" w:space="0" w:color="000000"/>
            </w:tcBorders>
            <w:shd w:color="auto" w:fill="F2F2F2" w:val="clear"/>
          </w:tcPr>
          <w:p>
            <w:pPr>
              <w:pStyle w:val="Normal"/>
              <w:spacing w:lineRule="auto" w:line="276" w:before="0" w:after="0"/>
              <w:ind w:left="0" w:right="0" w:hanging="0"/>
              <w:jc w:val="center"/>
              <w:rPr>
                <w:rFonts w:ascii="Times New Roman" w:hAnsi="Times New Roman" w:eastAsia="Calibri" w:cs="Times New Roman" w:eastAsiaTheme="minorHAnsi"/>
                <w:sz w:val="20"/>
                <w:lang w:eastAsia="en-US"/>
              </w:rPr>
            </w:pPr>
            <w:r>
              <w:rPr>
                <w:rFonts w:eastAsia="Calibri" w:cs="Times New Roman" w:ascii="Times New Roman" w:hAnsi="Times New Roman" w:eastAsiaTheme="minorHAnsi"/>
                <w:sz w:val="20"/>
                <w:lang w:eastAsia="en-US"/>
              </w:rPr>
              <w:t>Szt.</w:t>
            </w:r>
          </w:p>
        </w:tc>
      </w:tr>
      <w:tr>
        <w:trPr>
          <w:trHeight w:val="255" w:hRule="atLeast"/>
        </w:trPr>
        <w:tc>
          <w:tcPr>
            <w:tcW w:w="506" w:type="dxa"/>
            <w:tcBorders>
              <w:top w:val="single" w:sz="4" w:space="0" w:color="000000"/>
              <w:left w:val="single" w:sz="8" w:space="0" w:color="000000"/>
              <w:bottom w:val="single" w:sz="4" w:space="0" w:color="000000"/>
              <w:right w:val="single" w:sz="4" w:space="0" w:color="000000"/>
            </w:tcBorders>
            <w:shd w:color="auto" w:fill="F2F2F2" w:val="clear"/>
            <w:vAlign w:val="center"/>
          </w:tcPr>
          <w:p>
            <w:pPr>
              <w:pStyle w:val="Normal"/>
              <w:numPr>
                <w:ilvl w:val="1"/>
                <w:numId w:val="12"/>
              </w:numPr>
              <w:spacing w:lineRule="auto" w:line="240" w:before="0" w:after="0"/>
              <w:ind w:left="360" w:right="0" w:hanging="360"/>
              <w:contextualSpacing/>
              <w:jc w:val="left"/>
              <w:rPr>
                <w:rFonts w:ascii="Times New Roman" w:hAnsi="Times New Roman" w:eastAsia="Times New Roman"/>
                <w:sz w:val="20"/>
                <w:szCs w:val="20"/>
                <w:lang w:eastAsia="en-US"/>
              </w:rPr>
            </w:pPr>
            <w:r>
              <w:rPr>
                <w:rFonts w:eastAsia="Times New Roman" w:ascii="Times New Roman" w:hAnsi="Times New Roman"/>
                <w:sz w:val="20"/>
                <w:szCs w:val="20"/>
                <w:lang w:eastAsia="en-US"/>
              </w:rPr>
            </w:r>
          </w:p>
        </w:tc>
        <w:tc>
          <w:tcPr>
            <w:tcW w:w="3822" w:type="dxa"/>
            <w:tcBorders>
              <w:top w:val="single" w:sz="4" w:space="0" w:color="000000"/>
              <w:left w:val="single" w:sz="4" w:space="0" w:color="000000"/>
              <w:bottom w:val="single" w:sz="4" w:space="0" w:color="000000"/>
              <w:right w:val="single" w:sz="4" w:space="0" w:color="000000"/>
            </w:tcBorders>
            <w:shd w:color="auto" w:fill="F2F2F2" w:val="clear"/>
            <w:vAlign w:val="center"/>
          </w:tcPr>
          <w:p>
            <w:pPr>
              <w:pStyle w:val="Normal"/>
              <w:spacing w:lineRule="auto" w:line="240" w:before="0" w:after="0"/>
              <w:ind w:left="0" w:right="0" w:hanging="0"/>
              <w:jc w:val="left"/>
              <w:rPr>
                <w:rFonts w:ascii="Times New Roman" w:hAnsi="Times New Roman" w:eastAsia="Calibri" w:cs="Times New Roman" w:eastAsiaTheme="minorHAnsi"/>
                <w:sz w:val="20"/>
                <w:lang w:eastAsia="en-US"/>
              </w:rPr>
            </w:pPr>
            <w:r>
              <w:rPr>
                <w:rFonts w:eastAsia="Calibri" w:cs="Times New Roman" w:ascii="Times New Roman" w:hAnsi="Times New Roman" w:eastAsiaTheme="minorHAnsi"/>
                <w:sz w:val="20"/>
                <w:lang w:eastAsia="en-US"/>
              </w:rPr>
              <w:t>Drukarka kodów kreskowych</w:t>
            </w:r>
          </w:p>
        </w:tc>
        <w:tc>
          <w:tcPr>
            <w:tcW w:w="551" w:type="dxa"/>
            <w:tcBorders>
              <w:top w:val="single" w:sz="4" w:space="0" w:color="000000"/>
              <w:left w:val="single" w:sz="4" w:space="0" w:color="000000"/>
              <w:bottom w:val="single" w:sz="4" w:space="0" w:color="000000"/>
              <w:right w:val="single" w:sz="4" w:space="0" w:color="000000"/>
            </w:tcBorders>
            <w:shd w:color="auto" w:fill="F2F2F2" w:val="clear"/>
            <w:vAlign w:val="center"/>
          </w:tcPr>
          <w:p>
            <w:pPr>
              <w:pStyle w:val="Normal"/>
              <w:spacing w:lineRule="auto" w:line="240" w:before="0" w:after="0"/>
              <w:ind w:left="0" w:right="0" w:hanging="0"/>
              <w:jc w:val="center"/>
              <w:rPr>
                <w:rFonts w:ascii="Times New Roman" w:hAnsi="Times New Roman" w:eastAsia="Calibri" w:cs="Times New Roman" w:eastAsiaTheme="minorHAnsi"/>
                <w:sz w:val="20"/>
                <w:lang w:eastAsia="en-US"/>
              </w:rPr>
            </w:pPr>
            <w:r>
              <w:rPr>
                <w:rFonts w:eastAsia="Calibri" w:cs="Times New Roman" w:ascii="Times New Roman" w:hAnsi="Times New Roman" w:eastAsiaTheme="minorHAnsi"/>
                <w:sz w:val="20"/>
                <w:lang w:eastAsia="en-US"/>
              </w:rPr>
              <w:t>4</w:t>
            </w:r>
          </w:p>
        </w:tc>
        <w:tc>
          <w:tcPr>
            <w:tcW w:w="628" w:type="dxa"/>
            <w:tcBorders>
              <w:top w:val="single" w:sz="4" w:space="0" w:color="000000"/>
              <w:left w:val="single" w:sz="4" w:space="0" w:color="000000"/>
              <w:bottom w:val="single" w:sz="4" w:space="0" w:color="000000"/>
              <w:right w:val="single" w:sz="4" w:space="0" w:color="000000"/>
            </w:tcBorders>
            <w:shd w:color="auto" w:fill="F2F2F2" w:val="clear"/>
          </w:tcPr>
          <w:p>
            <w:pPr>
              <w:pStyle w:val="Normal"/>
              <w:spacing w:lineRule="auto" w:line="276" w:before="0" w:after="0"/>
              <w:ind w:left="0" w:right="0" w:hanging="0"/>
              <w:jc w:val="center"/>
              <w:rPr>
                <w:rFonts w:ascii="Times New Roman" w:hAnsi="Times New Roman" w:eastAsia="Calibri" w:cs="Times New Roman" w:eastAsiaTheme="minorHAnsi"/>
                <w:sz w:val="20"/>
                <w:lang w:eastAsia="en-US"/>
              </w:rPr>
            </w:pPr>
            <w:r>
              <w:rPr>
                <w:rFonts w:eastAsia="Calibri" w:cs="Times New Roman" w:ascii="Times New Roman" w:hAnsi="Times New Roman" w:eastAsiaTheme="minorHAnsi"/>
                <w:sz w:val="20"/>
                <w:lang w:eastAsia="en-US"/>
              </w:rPr>
              <w:t>Szt.</w:t>
            </w:r>
          </w:p>
        </w:tc>
      </w:tr>
    </w:tbl>
    <w:p>
      <w:pPr>
        <w:pStyle w:val="Normal"/>
        <w:spacing w:lineRule="auto" w:line="259" w:before="0" w:after="19"/>
        <w:ind w:left="0" w:right="76" w:hanging="0"/>
        <w:rPr/>
      </w:pPr>
      <w:r>
        <w:rPr/>
      </w:r>
    </w:p>
    <w:p>
      <w:pPr>
        <w:pStyle w:val="Normal"/>
        <w:spacing w:lineRule="auto" w:line="259" w:before="0" w:after="120"/>
        <w:ind w:left="11" w:right="74" w:hanging="0"/>
        <w:rPr>
          <w:b/>
          <w:b/>
        </w:rPr>
      </w:pPr>
      <w:r>
        <w:rPr>
          <w:b/>
        </w:rPr>
        <w:t>Szczegółowy opis przedmiotu zamówienia zawiera załącznik nr 1 do Specyfikacji Istotnych Warunków Zamówienia – Opis Przedmiotu Zamówienia.</w:t>
      </w:r>
    </w:p>
    <w:p>
      <w:pPr>
        <w:pStyle w:val="Normal"/>
        <w:spacing w:lineRule="auto" w:line="259" w:before="0" w:after="120"/>
        <w:ind w:left="11" w:right="74" w:hanging="0"/>
        <w:rPr>
          <w:b/>
          <w:b/>
        </w:rPr>
      </w:pPr>
      <w:r>
        <w:rPr>
          <w:b/>
        </w:rPr>
      </w:r>
    </w:p>
    <w:p>
      <w:pPr>
        <w:pStyle w:val="ListParagraph"/>
        <w:numPr>
          <w:ilvl w:val="1"/>
          <w:numId w:val="13"/>
        </w:numPr>
        <w:spacing w:lineRule="auto" w:line="264" w:before="0" w:after="120"/>
        <w:ind w:left="425" w:right="6" w:hanging="431"/>
        <w:contextualSpacing/>
        <w:rPr/>
      </w:pPr>
      <w:r>
        <w:rPr/>
        <w:t>Wymagany przez Zamawiającego minimalny okres gwarancji – 36 miesięcy (lub dłużej zgodnie ze złożoną ofertą) od daty dokonania ostatecznego odbioru przedmiotu umowy. Wymagany przez Zamawiającego minimalny okres gwarancji nie dotyczy sprzętu dla którego opisano krótszy termin gwarancji wskazany w OPZ.</w:t>
      </w:r>
    </w:p>
    <w:p>
      <w:pPr>
        <w:pStyle w:val="ListParagraph"/>
        <w:numPr>
          <w:ilvl w:val="1"/>
          <w:numId w:val="13"/>
        </w:numPr>
        <w:spacing w:lineRule="auto" w:line="264" w:before="0" w:after="120"/>
        <w:ind w:left="425" w:right="6" w:hanging="431"/>
        <w:contextualSpacing/>
        <w:rPr/>
      </w:pPr>
      <w:r>
        <w:rPr/>
        <w:t xml:space="preserve">Zamawiający, z uwagi na charakter zamówienia obejmujący dostawę, nie wskazuje czynności w zakresie realizacji zamówienia, które wymagają zatrudnienia przez wykonawcę lub podwykonawcę osób na podstawie umowy o pracę. Zamawiający nie identyfikuje w czynnościach objętych tą częścią zamówienia czynności, które nosiłyby znamiona stosunku pracy.  </w:t>
      </w:r>
    </w:p>
    <w:p>
      <w:pPr>
        <w:pStyle w:val="ListParagraph"/>
        <w:numPr>
          <w:ilvl w:val="1"/>
          <w:numId w:val="13"/>
        </w:numPr>
        <w:spacing w:lineRule="auto" w:line="264" w:before="0" w:after="120"/>
        <w:ind w:left="425" w:right="6" w:hanging="431"/>
        <w:contextualSpacing/>
        <w:rPr/>
      </w:pPr>
      <w:r>
        <w:rPr/>
        <w:t>Zamawiający informuje, że w przypadku, gdy określił w SIWZ, w tym w OPZ wymagania z</w:t>
        <w:br/>
        <w:t>użyciem znaków towarowych, patentów lub pochodzenia, źródła lub szczególnego</w:t>
        <w:br/>
        <w:t>procesu, który charakteryzuje produkty lub usługi dostarczane przez konkretnego</w:t>
        <w:br/>
        <w:t>wykonawcę, a także norm, europejskich ocen technicznych, aprobat, specyfikacji</w:t>
        <w:br/>
        <w:t>technicznych i systemów referencji technicznych, o których mowa w art. 30 ust. 1 pkt 2 i</w:t>
        <w:br/>
        <w:t>ust. 3 ustawy, to należy traktować takie określenie jako przykładowe. W każdym takim</w:t>
        <w:br/>
        <w:t>przypadku Zamawiający dopuszcza zaoferowanie rozwiązań równoważnych. Za</w:t>
        <w:br/>
        <w:t>rozwiązanie równoważne uważa się takie rozwiązanie, które pod względem technologii,</w:t>
        <w:br/>
        <w:t>wydajności i funkcjonalności oferowanych przez to rozwiązanie, nie odbiega znacząco od</w:t>
        <w:br/>
        <w:t>technologii funkcjonalności i wydajności wyszczególnionych w rozwiązaniu</w:t>
        <w:br/>
        <w:t>wyspecyfikowanym, przy czym nie podlegają porównaniu cechy rozwiązania właściwe</w:t>
        <w:br/>
        <w:t>wyłącznie dla rozwiązania wyspecyfikowanego, takie jak: zastrzeżone patenty,</w:t>
        <w:br/>
        <w:t>własnościowe rozwiązania technologiczne, własnościowe protokoły itp., a jedynie te,</w:t>
        <w:br/>
        <w:t>które stanowią o istocie całości zakładanych rozwiązań technologicznych i posiadają</w:t>
        <w:br/>
        <w:t>odniesienie w rozwiązaniu równoważnym. W związku z tym, Wykonawca może</w:t>
        <w:br/>
        <w:t>zaproponować rozwiązania, które realizują takie same funkcjonalności wyspecyfikowane</w:t>
        <w:br/>
        <w:t>przez Zamawiającego w inny, niż podany sposób. Za rozwiązanie równoważne nie</w:t>
        <w:br/>
        <w:t>można uznać rozwiązania identycznego (tożsamego), a jedynie takie, które w</w:t>
        <w:br/>
        <w:t>porównywanych cechach wykazuje dokładnie tą samą lub bardzo zbliżoną wartość</w:t>
        <w:br/>
        <w:t>użytkową. Przez bardzo zbliżoną wartość użytkową rozumie się podobne, z</w:t>
        <w:br/>
        <w:t>dopuszczeniem nieznacznych różnic nie wpływających w żadnym stopniu na całokształt</w:t>
        <w:br/>
        <w:t>systemu, zachowanie oraz realizowanie podobnych funkcjonalności w danych</w:t>
        <w:br/>
        <w:t>warunkach, identycznych dla obu rozwiązań, dla których to warunków rozwiązania te są</w:t>
        <w:br/>
        <w:t>dedykowane. Rozwiązanie równoważne musi zawierać dokumentację dostarczoną przez</w:t>
        <w:br/>
        <w:t>Wykonawcę potwierdzającą, iż spełnia wymagania funkcjonalne Zamawiającego, w tym</w:t>
        <w:br/>
        <w:t>wyniki porównań, testów, czy możliwości oferowanych przez to rozwiązanie w</w:t>
        <w:br/>
        <w:t>odniesieniu do rozwiązania wyspecyfikowanego.</w:t>
      </w:r>
    </w:p>
    <w:p>
      <w:pPr>
        <w:pStyle w:val="Normal"/>
        <w:spacing w:before="0" w:after="212"/>
        <w:ind w:left="7" w:right="76" w:hanging="10"/>
        <w:rPr/>
      </w:pPr>
      <w:r>
        <w:rPr/>
      </w:r>
    </w:p>
    <w:p>
      <w:pPr>
        <w:pStyle w:val="Nagwek1"/>
        <w:numPr>
          <w:ilvl w:val="0"/>
          <w:numId w:val="11"/>
        </w:numPr>
        <w:shd w:val="clear" w:fill="F7CAAC"/>
        <w:ind w:left="426" w:right="4000" w:hanging="426"/>
        <w:rPr/>
      </w:pPr>
      <w:bookmarkStart w:id="5" w:name="_Toc38874109"/>
      <w:r>
        <w:rPr/>
        <w:t>Termin wykonania zamówienia</w:t>
      </w:r>
      <w:bookmarkEnd w:id="5"/>
    </w:p>
    <w:p>
      <w:pPr>
        <w:pStyle w:val="Normal"/>
        <w:spacing w:lineRule="auto" w:line="264" w:before="0" w:after="120"/>
        <w:ind w:left="5" w:right="74" w:hanging="11"/>
        <w:jc w:val="left"/>
        <w:rPr>
          <w:b/>
          <w:b/>
        </w:rPr>
      </w:pPr>
      <w:r>
        <w:rPr/>
        <w:t>Wymagany termin wykonania Zamówienia</w:t>
      </w:r>
      <w:r>
        <w:rPr>
          <w:b/>
        </w:rPr>
        <w:t xml:space="preserve"> – 60 dni od dnia podpisania umowy.</w:t>
      </w:r>
    </w:p>
    <w:p>
      <w:pPr>
        <w:pStyle w:val="Normal"/>
        <w:spacing w:before="0" w:after="212"/>
        <w:ind w:left="7" w:right="76" w:hanging="10"/>
        <w:rPr/>
      </w:pPr>
      <w:r>
        <w:rPr/>
      </w:r>
    </w:p>
    <w:p>
      <w:pPr>
        <w:pStyle w:val="Nagwek1"/>
        <w:numPr>
          <w:ilvl w:val="0"/>
          <w:numId w:val="11"/>
        </w:numPr>
        <w:shd w:val="clear" w:fill="F7CAAC"/>
        <w:ind w:left="426" w:right="4000" w:hanging="426"/>
        <w:rPr/>
      </w:pPr>
      <w:bookmarkStart w:id="6" w:name="_Toc38874110"/>
      <w:r>
        <w:rPr/>
        <w:t>Warunki udziału w postępowaniu, podstawy wykluczenia z postępowania</w:t>
      </w:r>
      <w:bookmarkEnd w:id="6"/>
    </w:p>
    <w:p>
      <w:pPr>
        <w:pStyle w:val="ListParagraph"/>
        <w:numPr>
          <w:ilvl w:val="0"/>
          <w:numId w:val="13"/>
        </w:numPr>
        <w:ind w:left="360" w:right="4" w:hanging="360"/>
        <w:rPr>
          <w:vanish/>
        </w:rPr>
      </w:pPr>
      <w:r>
        <w:rPr>
          <w:vanish/>
        </w:rPr>
      </w:r>
    </w:p>
    <w:p>
      <w:pPr>
        <w:pStyle w:val="ListParagraph"/>
        <w:numPr>
          <w:ilvl w:val="0"/>
          <w:numId w:val="13"/>
        </w:numPr>
        <w:ind w:left="360" w:right="4" w:hanging="360"/>
        <w:rPr>
          <w:vanish/>
        </w:rPr>
      </w:pPr>
      <w:r>
        <w:rPr>
          <w:vanish/>
        </w:rPr>
      </w:r>
    </w:p>
    <w:p>
      <w:pPr>
        <w:pStyle w:val="ListParagraph"/>
        <w:numPr>
          <w:ilvl w:val="1"/>
          <w:numId w:val="13"/>
        </w:numPr>
        <w:spacing w:lineRule="auto" w:line="259" w:before="0" w:after="120"/>
        <w:ind w:left="426" w:right="4" w:hanging="432"/>
        <w:contextualSpacing/>
        <w:rPr/>
      </w:pPr>
      <w:r>
        <w:rPr/>
        <w:t xml:space="preserve">O udzielenie zamówienia mogą ubiegać się Wykonawcy, którzy nie podlegają wykluczeniu na podstawie: </w:t>
      </w:r>
    </w:p>
    <w:p>
      <w:pPr>
        <w:pStyle w:val="Normal"/>
        <w:spacing w:lineRule="auto" w:line="259" w:before="0" w:after="120"/>
        <w:ind w:left="449" w:right="76" w:hanging="10"/>
        <w:rPr/>
      </w:pPr>
      <w:r>
        <w:rPr/>
        <w:t>1)</w:t>
      </w:r>
      <w:r>
        <w:rPr>
          <w:rFonts w:eastAsia="Arial" w:cs="Arial" w:ascii="Arial" w:hAnsi="Arial"/>
        </w:rPr>
        <w:t xml:space="preserve"> </w:t>
      </w:r>
      <w:r>
        <w:rPr/>
        <w:t xml:space="preserve">art. 24 ust.1 pkt 12)-23) ustawy Prawo zamówień publicznych; </w:t>
      </w:r>
    </w:p>
    <w:p>
      <w:pPr>
        <w:pStyle w:val="Normal"/>
        <w:spacing w:lineRule="auto" w:line="259" w:before="0" w:after="120"/>
        <w:ind w:left="449" w:right="76" w:hanging="10"/>
        <w:rPr/>
      </w:pPr>
      <w:r>
        <w:rPr/>
        <w:t>2)</w:t>
      </w:r>
      <w:r>
        <w:rPr>
          <w:rFonts w:eastAsia="Arial" w:cs="Arial" w:ascii="Arial" w:hAnsi="Arial"/>
        </w:rPr>
        <w:t xml:space="preserve"> </w:t>
      </w:r>
      <w:r>
        <w:rPr/>
        <w:t xml:space="preserve">art. 24 ust. 5 pkt 1), 2) ,4) i 8) tj.: </w:t>
      </w:r>
    </w:p>
    <w:p>
      <w:pPr>
        <w:pStyle w:val="Normal"/>
        <w:numPr>
          <w:ilvl w:val="3"/>
          <w:numId w:val="4"/>
        </w:numPr>
        <w:spacing w:lineRule="auto" w:line="259" w:before="0" w:after="120"/>
        <w:ind w:left="1080" w:right="76" w:hanging="360"/>
        <w:rPr/>
      </w:pPr>
      <w:r>
        <w:rPr/>
        <w:t xml:space="preserve">w stosunku do którego otwarto likwidację, w zatwierdzonym przez sąd układzie w postępowaniu restrukturyzacyjnym jest przewidziane zaspokojenie wierzycieli przez likwidację jego majątku lub sąd zarządził likwidację jego majątku w trybie art. 332 ust. 1 ustawy z dnia 15 maja 2015 r. - Prawo restrukturyzacyjne (t.j. Dz. U. z 2017 r. poz. 1508, oraz z 2018 r. poz. 149, 398, 1544 i 1629 lub którego upadłość ogłoszono, z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upadłościowe (t.j. Dz. U. z 2017 r. poz. 2344 i 2491 oraz z 2018 r. poz. 398, 685, 1544 i 1629); </w:t>
      </w:r>
    </w:p>
    <w:p>
      <w:pPr>
        <w:pStyle w:val="Normal"/>
        <w:numPr>
          <w:ilvl w:val="3"/>
          <w:numId w:val="4"/>
        </w:numPr>
        <w:spacing w:lineRule="auto" w:line="259" w:before="0" w:after="120"/>
        <w:ind w:left="1080" w:right="76" w:hanging="360"/>
        <w:rPr/>
      </w:pPr>
      <w:r>
        <w:rPr/>
        <w:t xml:space="preserve">który w sposób zawiniony poważnie naruszył obowiązki zawodowe, co podważa jego uczciwość, w szczególności gdy wykonawca w wyniku zamierzonego działania lub rażącego niedbalstwa nie wykonał lub nienależycie wykonał zamówienie, co zamawiający jest w stanie wykazać za pomocą stosownych środków dowodowych; </w:t>
      </w:r>
    </w:p>
    <w:p>
      <w:pPr>
        <w:pStyle w:val="Normal"/>
        <w:numPr>
          <w:ilvl w:val="3"/>
          <w:numId w:val="4"/>
        </w:numPr>
        <w:spacing w:lineRule="auto" w:line="259" w:before="0" w:after="120"/>
        <w:ind w:left="1080" w:right="76" w:hanging="360"/>
        <w:rPr/>
      </w:pPr>
      <w:r>
        <w:rPr/>
        <w:t xml:space="preserve">który, z przyczyn leżących po jego stronie, nie wykonał albo nienależycie wykonał w istotnym stopniu wcześniejszą umowę w sprawie zamówienia publicznego lub umowę koncesji, zawartą z zamawiającym, o którym mowa w art. 3 ust. 1 pkt 1-4 ustawy Prawo zamówień publicznych, co doprowadziło do rozwiązania umowy lub zasądzenia odszkodowania. </w:t>
      </w:r>
    </w:p>
    <w:p>
      <w:pPr>
        <w:pStyle w:val="Normal"/>
        <w:numPr>
          <w:ilvl w:val="3"/>
          <w:numId w:val="4"/>
        </w:numPr>
        <w:spacing w:lineRule="auto" w:line="259" w:before="0" w:after="120"/>
        <w:ind w:left="1080" w:right="76" w:hanging="360"/>
        <w:rPr/>
      </w:pPr>
      <w:r>
        <w:rPr/>
        <w:t xml:space="preserve">który naruszył obowiązki dotyczące płatności podatków, opłat lub składek na ubezpieczenia społeczne lub zdrowotne, co zamawiający jest w stanie wykazać za pomocą stosownych środków dowodowych, z wyjątkiem przypadku, o którym mowa w art. 24 ust. 1 pkt 15 ustawy Prawo zamówień publicznych, chyba że wykonawca dokonał płatności należnych podatków, opłat lub składek na ubezpieczenia społeczne lub zdrowotne wraz z odsetkami lub grzywnami lub zawarł wiążące porozumienie w sprawie spłaty tych należności. </w:t>
      </w:r>
    </w:p>
    <w:p>
      <w:pPr>
        <w:pStyle w:val="ListParagraph"/>
        <w:numPr>
          <w:ilvl w:val="1"/>
          <w:numId w:val="13"/>
        </w:numPr>
        <w:spacing w:lineRule="auto" w:line="259" w:before="0" w:after="120"/>
        <w:ind w:left="426" w:right="4" w:hanging="432"/>
        <w:contextualSpacing/>
        <w:rPr/>
      </w:pPr>
      <w:r>
        <w:rPr/>
        <w:t xml:space="preserve">Wykonawca, który podlega wykluczeniu na podstawie art. 24 ust. 1 pkt 13 -14 oraz 16-20 lub ust. 5 ustawy Prawo zamówień publicznych,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Wykonawcy. Regulacji, o której mowa w zdaniu pierwszym nie stosuje się, jeżeli wobec Wykonawcy, będącego podmiotem zbiorowym, orzeczono prawomocnym wyrokiem sądu zakaz ubiegania się o udzielenie zamówienia oraz nie upłynął określony w tym wyroku okres obowiązywania tego zakazu. </w:t>
      </w:r>
    </w:p>
    <w:p>
      <w:pPr>
        <w:pStyle w:val="ListParagraph"/>
        <w:numPr>
          <w:ilvl w:val="1"/>
          <w:numId w:val="13"/>
        </w:numPr>
        <w:spacing w:lineRule="auto" w:line="259" w:before="0" w:after="120"/>
        <w:ind w:left="426" w:right="4" w:hanging="432"/>
        <w:contextualSpacing/>
        <w:rPr/>
      </w:pPr>
      <w:r>
        <w:rPr/>
        <w:t xml:space="preserve">Wykonawca nie podlega wykluczeniu, jeżeli Zamawiający, uwzględniając wagę i szczególne okoliczności czynu Wykonawcy, uzna za wystarczające dowody przedstawione na podstawie art. 24 ust. 8 ustawy Prawo zamówień publicznych. </w:t>
      </w:r>
    </w:p>
    <w:p>
      <w:pPr>
        <w:pStyle w:val="ListParagraph"/>
        <w:numPr>
          <w:ilvl w:val="1"/>
          <w:numId w:val="13"/>
        </w:numPr>
        <w:spacing w:lineRule="auto" w:line="259" w:before="0" w:after="120"/>
        <w:ind w:left="426" w:right="4" w:hanging="432"/>
        <w:contextualSpacing/>
        <w:rPr/>
      </w:pPr>
      <w:r>
        <w:rPr/>
        <w:t xml:space="preserve">Zamawiający dokona oceny, czy brak jest podstaw do wykluczenia Wykonawcy na podstawie dokumentów i oświadczeń wymaganych w przedmiotowym postępowaniu na zasadzie spełnia/ nie spełnia.  </w:t>
      </w:r>
    </w:p>
    <w:p>
      <w:pPr>
        <w:pStyle w:val="ListParagraph"/>
        <w:numPr>
          <w:ilvl w:val="1"/>
          <w:numId w:val="13"/>
        </w:numPr>
        <w:spacing w:lineRule="auto" w:line="259" w:before="0" w:after="120"/>
        <w:ind w:left="426" w:right="4" w:hanging="432"/>
        <w:contextualSpacing/>
        <w:rPr/>
      </w:pPr>
      <w:r>
        <w:rPr/>
        <w:t xml:space="preserve">Ponadto, o udzielenie zamówienia mogą ubiegać się Wykonawcy, którzy spełniają warunki dotyczące: </w:t>
      </w:r>
    </w:p>
    <w:p>
      <w:pPr>
        <w:pStyle w:val="ListParagraph"/>
        <w:numPr>
          <w:ilvl w:val="2"/>
          <w:numId w:val="13"/>
        </w:numPr>
        <w:spacing w:lineRule="auto" w:line="259" w:before="0" w:after="120"/>
        <w:ind w:left="567" w:right="4" w:hanging="567"/>
        <w:contextualSpacing/>
        <w:rPr>
          <w:b/>
          <w:b/>
          <w:bCs/>
        </w:rPr>
      </w:pPr>
      <w:r>
        <w:rPr>
          <w:b/>
          <w:bCs/>
        </w:rPr>
        <w:t xml:space="preserve">Kompetencji lub uprawnień do prowadzenia określonej działalności zawodowej, o ile wynika to z odrębnych przepisów. </w:t>
      </w:r>
    </w:p>
    <w:p>
      <w:pPr>
        <w:pStyle w:val="ListParagraph"/>
        <w:spacing w:lineRule="auto" w:line="259" w:before="0" w:after="120"/>
        <w:ind w:left="567" w:right="4" w:hanging="0"/>
        <w:contextualSpacing/>
        <w:rPr>
          <w:b/>
          <w:b/>
          <w:bCs/>
        </w:rPr>
      </w:pPr>
      <w:r>
        <w:rPr>
          <w:u w:val="single" w:color="000000"/>
        </w:rPr>
        <w:t>Zamawiający odstępuje od konkretyzacji tego warunku.</w:t>
      </w:r>
      <w:r>
        <w:rPr/>
        <w:t xml:space="preserve"> </w:t>
      </w:r>
    </w:p>
    <w:p>
      <w:pPr>
        <w:pStyle w:val="ListParagraph"/>
        <w:numPr>
          <w:ilvl w:val="2"/>
          <w:numId w:val="13"/>
        </w:numPr>
        <w:spacing w:lineRule="auto" w:line="259" w:before="0" w:after="120"/>
        <w:ind w:left="567" w:right="4" w:hanging="567"/>
        <w:contextualSpacing/>
        <w:rPr>
          <w:b/>
          <w:b/>
          <w:bCs/>
        </w:rPr>
      </w:pPr>
      <w:r>
        <w:rPr>
          <w:b/>
          <w:bCs/>
        </w:rPr>
        <w:t xml:space="preserve">Sytuacji ekonomicznej lub finansowej; </w:t>
      </w:r>
    </w:p>
    <w:p>
      <w:pPr>
        <w:pStyle w:val="ListParagraph"/>
        <w:spacing w:lineRule="auto" w:line="259" w:before="0" w:after="120"/>
        <w:ind w:left="567" w:right="4" w:hanging="0"/>
        <w:contextualSpacing/>
        <w:rPr>
          <w:u w:val="single" w:color="000000"/>
        </w:rPr>
      </w:pPr>
      <w:r>
        <w:rPr>
          <w:u w:val="single" w:color="000000"/>
        </w:rPr>
        <w:t xml:space="preserve">Zamawiający odstępuje od konkretyzacji tego warunku. </w:t>
      </w:r>
    </w:p>
    <w:p>
      <w:pPr>
        <w:pStyle w:val="ListParagraph"/>
        <w:numPr>
          <w:ilvl w:val="2"/>
          <w:numId w:val="13"/>
        </w:numPr>
        <w:spacing w:lineRule="auto" w:line="259" w:before="0" w:after="120"/>
        <w:ind w:left="567" w:right="4" w:hanging="567"/>
        <w:contextualSpacing/>
        <w:rPr>
          <w:b/>
          <w:b/>
          <w:bCs/>
        </w:rPr>
      </w:pPr>
      <w:r>
        <w:rPr>
          <w:b/>
          <w:bCs/>
        </w:rPr>
        <w:t xml:space="preserve">Zdolności technicznej lub zawodowej. </w:t>
      </w:r>
    </w:p>
    <w:p>
      <w:pPr>
        <w:pStyle w:val="Normal"/>
        <w:spacing w:lineRule="auto" w:line="259" w:before="0" w:after="120"/>
        <w:ind w:left="567" w:right="76" w:hanging="10"/>
        <w:rPr>
          <w:u w:val="single"/>
        </w:rPr>
      </w:pPr>
      <w:r>
        <w:rPr/>
        <w:t xml:space="preserve">Zamawiający uzna, że Wykonawca posiada minimalne zdolności techniczne lub zawodowe zapewniające należyte wykonanie zamówienia, jeżeli wykonawca wykaże, że </w:t>
      </w:r>
      <w:r>
        <w:rPr>
          <w:u w:val="single"/>
        </w:rPr>
        <w:t xml:space="preserve">w okresie ostatnich trzech lat przed upływem terminu składania ofert, a jeżeli okres prowadzenia działalności jest krótszy – w tym okresie, zrealizował co najmniej: </w:t>
      </w:r>
    </w:p>
    <w:p>
      <w:pPr>
        <w:pStyle w:val="Normal"/>
        <w:spacing w:lineRule="auto" w:line="259" w:before="0" w:after="120"/>
        <w:ind w:left="1006" w:right="76" w:hanging="360"/>
        <w:rPr/>
      </w:pPr>
      <w:r>
        <w:rPr/>
        <w:t>a)</w:t>
      </w:r>
      <w:r>
        <w:rPr>
          <w:rFonts w:eastAsia="Arial" w:cs="Arial" w:ascii="Arial" w:hAnsi="Arial"/>
        </w:rPr>
        <w:t xml:space="preserve"> </w:t>
        <w:tab/>
      </w:r>
      <w:r>
        <w:rPr/>
        <w:t>jedno zamówienie polegające na dostawie i uruchomieniu sprzętu komputerowego w łącznej kwocie 250 000,00 zł netto (dwieście pięćdziesiąt tysięcy złotych), w tym zamówienie to obejmowało co najmniej: jedną macierz wraz z instalacją i konfiguracją o wartości nie mniejszej niż 25 000,00 zł netto (dwadzieścia pięć tysięcy złotych) oraz co najmniej jeden serwer wraz z instalacją i konfiguracją o wartości nie mniejszej niż 20 000,00 zł. netto (dwadzieścia tysięcy).</w:t>
      </w:r>
    </w:p>
    <w:p>
      <w:pPr>
        <w:pStyle w:val="Normal"/>
        <w:spacing w:lineRule="auto" w:line="259" w:before="0" w:after="120"/>
        <w:ind w:left="709" w:right="76" w:hanging="0"/>
        <w:rPr>
          <w:b/>
          <w:b/>
        </w:rPr>
      </w:pPr>
      <w:r>
        <w:rPr>
          <w:b/>
          <w:u w:val="single" w:color="000000"/>
        </w:rPr>
        <w:t xml:space="preserve">UWAGA: </w:t>
      </w:r>
      <w:r>
        <w:rPr>
          <w:b/>
        </w:rPr>
        <w:t xml:space="preserve">dla wartości wskazanych przez Wykonawcę w walucie innej niż PLN, Zamawiający przyjmie przelicznik według średniego kursu NBP tej waluty z dnia wszczęcia niniejszego postępowania.  </w:t>
      </w:r>
    </w:p>
    <w:p>
      <w:pPr>
        <w:pStyle w:val="ListParagraph"/>
        <w:numPr>
          <w:ilvl w:val="1"/>
          <w:numId w:val="13"/>
        </w:numPr>
        <w:spacing w:lineRule="auto" w:line="259" w:before="0" w:after="120"/>
        <w:ind w:left="426" w:right="4" w:hanging="432"/>
        <w:contextualSpacing/>
        <w:rPr/>
      </w:pPr>
      <w:r>
        <w:rPr/>
        <w:t xml:space="preserve">Wykonawca może polegać na zdolnościach technicznych lub zawodowych lub sytuacji finansowej lub ekonomicznej innych podmiotów niezależnie od charakteru prawnego łączących go z nimi stosunków prawnych.  </w:t>
      </w:r>
    </w:p>
    <w:p>
      <w:pPr>
        <w:pStyle w:val="ListParagraph"/>
        <w:numPr>
          <w:ilvl w:val="1"/>
          <w:numId w:val="13"/>
        </w:numPr>
        <w:spacing w:lineRule="auto" w:line="259" w:before="0" w:after="120"/>
        <w:ind w:left="426" w:right="4" w:hanging="432"/>
        <w:contextualSpacing/>
        <w:rPr/>
      </w:pPr>
      <w:r>
        <w:rPr/>
        <w:t xml:space="preserve">Wykonawca w takiej sytuacji zobowiązany jest udowodnić Zamawiającemu, iż będzie dysponował zasobami niezbędnymi do realizacji zamówienia, w szczególności przedstawiając w tym celu zobowiązanie tych podmiotów do oddania mu do dyspozycji niezbędnych zasobów na potrzeby realizacji zamówienia.  </w:t>
      </w:r>
    </w:p>
    <w:p>
      <w:pPr>
        <w:pStyle w:val="ListParagraph"/>
        <w:numPr>
          <w:ilvl w:val="1"/>
          <w:numId w:val="13"/>
        </w:numPr>
        <w:spacing w:lineRule="auto" w:line="259" w:before="0" w:after="120"/>
        <w:ind w:left="426" w:right="4" w:hanging="432"/>
        <w:contextualSpacing/>
        <w:rPr/>
      </w:pPr>
      <w:r>
        <w:rPr/>
        <w:t>Zamawiający oceni czy udostępniane wykonawcy przez inne podmioty zdolności techniczne lub zawodowe lub ich sytuacja finansowa lub ekonomiczna, pozwalają na wykazanie przez wykonawcę spełniania warunków udziału w postępowaniu oraz zbada, czy nie zachodzą wobec tego podmiotu podstawy wykluczenia, o których mowa w art. 24 ust. 1 pkt 13–23 i ust. 5 pkt 1), 2), 4) i 8) ustawy Prawo zamówień publicznych. W odniesieniu do warunków dotyczących wykształcenia, kwalifikacji zawodowych lub doświadczenia, wykonawcy mogą polegać na zdolnościach innych podmiotów, jeśli podmioty te zrealizują usługi, do realizacji których te zdolności są wymagane.</w:t>
      </w:r>
    </w:p>
    <w:p>
      <w:pPr>
        <w:pStyle w:val="ListParagraph"/>
        <w:numPr>
          <w:ilvl w:val="1"/>
          <w:numId w:val="13"/>
        </w:numPr>
        <w:spacing w:lineRule="auto" w:line="259" w:before="0" w:after="120"/>
        <w:ind w:left="426" w:right="4" w:hanging="432"/>
        <w:contextualSpacing/>
        <w:rPr/>
      </w:pPr>
      <w:r>
        <w:rPr/>
        <w:t xml:space="preserve">Wykonawcy, którzy wspólnie będą ubiegać się o udzielenie zamówienia, zgodnie z art. 23 ustawy Prawo zamówień publicznych muszą ustanowić Pełnomocnika do reprezentowania ich w niniejszym postępowaniu albo reprezentowania w postępowaniu i zawarcia umowy o udzielenie przedmiotowego zamówienia publicznego. </w:t>
      </w:r>
    </w:p>
    <w:p>
      <w:pPr>
        <w:pStyle w:val="ListParagraph"/>
        <w:numPr>
          <w:ilvl w:val="1"/>
          <w:numId w:val="13"/>
        </w:numPr>
        <w:spacing w:lineRule="auto" w:line="259" w:before="0" w:after="120"/>
        <w:ind w:left="426" w:right="4" w:hanging="432"/>
        <w:contextualSpacing/>
        <w:rPr/>
      </w:pPr>
      <w:r>
        <w:rPr/>
        <w:t xml:space="preserve">Wszelka korespondencja dokonywana będzie wyłącznie z Pełnomocnikiem ustanowionym zgodnie z punktem 5.9 SIWZ, </w:t>
      </w:r>
    </w:p>
    <w:p>
      <w:pPr>
        <w:pStyle w:val="ListParagraph"/>
        <w:numPr>
          <w:ilvl w:val="1"/>
          <w:numId w:val="13"/>
        </w:numPr>
        <w:spacing w:lineRule="auto" w:line="259" w:before="0" w:after="120"/>
        <w:ind w:left="426" w:right="4" w:hanging="432"/>
        <w:contextualSpacing/>
        <w:rPr/>
      </w:pPr>
      <w:r>
        <w:rPr/>
        <w:t xml:space="preserve">Wykonawcy wspólnie ubiegający się o udzielenie niniejszego zamówienia zobowiązani są do solidarnej odpowiedzialności za wykonanie zamówienia i wniesienia zabezpieczenia prawidłowej realizacji umowy. </w:t>
      </w:r>
    </w:p>
    <w:p>
      <w:pPr>
        <w:pStyle w:val="ListParagraph"/>
        <w:numPr>
          <w:ilvl w:val="1"/>
          <w:numId w:val="13"/>
        </w:numPr>
        <w:spacing w:lineRule="auto" w:line="259" w:before="0" w:after="120"/>
        <w:ind w:left="426" w:right="4" w:hanging="432"/>
        <w:contextualSpacing/>
        <w:rPr/>
      </w:pPr>
      <w:r>
        <w:rPr/>
        <w:t xml:space="preserve">Ocena spełniania przedstawionych powyżej warunków udziału w postępowaniu zostanie dokonana wg formuły: „spełnia – nie spełnia”.  </w:t>
      </w:r>
    </w:p>
    <w:p>
      <w:pPr>
        <w:pStyle w:val="Normal"/>
        <w:spacing w:before="0" w:after="212"/>
        <w:ind w:left="7" w:right="76" w:hanging="10"/>
        <w:rPr/>
      </w:pPr>
      <w:r>
        <w:rPr/>
      </w:r>
    </w:p>
    <w:p>
      <w:pPr>
        <w:pStyle w:val="Nagwek1"/>
        <w:numPr>
          <w:ilvl w:val="0"/>
          <w:numId w:val="11"/>
        </w:numPr>
        <w:shd w:val="clear" w:fill="F7CAAC"/>
        <w:ind w:left="426" w:right="4000" w:hanging="426"/>
        <w:rPr/>
      </w:pPr>
      <w:bookmarkStart w:id="7" w:name="_Toc38874111"/>
      <w:r>
        <w:rPr/>
        <w:t>Wykaz oświadczeń lub dokumentów, jakie mają dostarczyć Wykonawcy potwierdzających spełnianie warunków udziału w postępowaniu oraz brak podstaw wykluczenia</w:t>
      </w:r>
      <w:bookmarkEnd w:id="7"/>
    </w:p>
    <w:p>
      <w:pPr>
        <w:pStyle w:val="ListParagraph"/>
        <w:numPr>
          <w:ilvl w:val="0"/>
          <w:numId w:val="13"/>
        </w:numPr>
        <w:spacing w:lineRule="auto" w:line="259" w:before="0" w:after="120"/>
        <w:ind w:left="360" w:right="4" w:hanging="360"/>
        <w:contextualSpacing/>
        <w:rPr>
          <w:vanish/>
        </w:rPr>
      </w:pPr>
      <w:r>
        <w:rPr>
          <w:vanish/>
        </w:rPr>
      </w:r>
    </w:p>
    <w:p>
      <w:pPr>
        <w:pStyle w:val="ListParagraph"/>
        <w:numPr>
          <w:ilvl w:val="1"/>
          <w:numId w:val="13"/>
        </w:numPr>
        <w:spacing w:lineRule="auto" w:line="259" w:before="0" w:after="120"/>
        <w:ind w:left="426" w:right="4" w:hanging="432"/>
        <w:contextualSpacing/>
        <w:rPr/>
      </w:pPr>
      <w:r>
        <w:rPr/>
        <w:t xml:space="preserve">W celu wstępnego potwierdzenia braku podstaw wykluczenia z postępowania o udzielenie przedmiotowego zamówienia publicznego wraz z ofertą Wykonawca składa aktualne na dzień składania ofert oświadczenie dotyczące spełniania warunków udziału w postępowaniu i kwestii podstaw wykluczenia. Oświadczenie składane jest na formularzu jednolitego europejskiego dokumentu zamówienia (JEDZ) - </w:t>
      </w:r>
      <w:r>
        <w:rPr>
          <w:b/>
          <w:bCs/>
          <w:u w:val="single"/>
        </w:rPr>
        <w:t>w postaci elektronicznej opatrzonej kwalifikowanym podpisem elektronicznym</w:t>
      </w:r>
      <w:r>
        <w:rPr/>
        <w:t xml:space="preserve"> - sporządzonego zgodnie z wzorem standardowego formularza określonego w rozporządzeniu wykonawczym Komisji Europejskiej wydanym na podstawie art. 59 ust. 2 dyrektywy 2014/24/UE oraz art. 80 ust. 3 dyrektywy 2014/25/UE. </w:t>
      </w:r>
    </w:p>
    <w:p>
      <w:pPr>
        <w:pStyle w:val="ListParagraph"/>
        <w:numPr>
          <w:ilvl w:val="1"/>
          <w:numId w:val="13"/>
        </w:numPr>
        <w:spacing w:lineRule="auto" w:line="259" w:before="0" w:after="120"/>
        <w:ind w:left="426" w:right="76" w:hanging="432"/>
        <w:contextualSpacing/>
        <w:rPr>
          <w:rFonts w:ascii="Calibri" w:hAnsi="Calibri" w:cs="Times New Roman" w:asciiTheme="minorHAnsi" w:hAnsiTheme="minorHAnsi"/>
        </w:rPr>
      </w:pPr>
      <w:r>
        <w:rPr/>
        <w:t xml:space="preserve">Wykonawca, który powołuje się na zasoby innych podmiotów, w celu wykazania braku istnienia wobec nich podstaw wykluczenia oraz spełniania, w zakresie, w jakim powołuje się na ich zasoby, warunków udziału w postępowaniu – składa oświadczenie, o którym mowa w punkcie 6.1 SIWZ dotyczące tych podmiotów.  </w:t>
      </w:r>
    </w:p>
    <w:p>
      <w:pPr>
        <w:pStyle w:val="ListParagraph"/>
        <w:spacing w:lineRule="auto" w:line="259" w:before="0" w:after="120"/>
        <w:ind w:left="426" w:right="76" w:hanging="0"/>
        <w:contextualSpacing/>
        <w:rPr>
          <w:rFonts w:ascii="Calibri" w:hAnsi="Calibri" w:cs="Times New Roman" w:asciiTheme="minorHAnsi" w:hAnsiTheme="minorHAnsi"/>
        </w:rPr>
      </w:pPr>
      <w:r>
        <w:rPr>
          <w:rFonts w:cs="Times New Roman"/>
        </w:rPr>
        <w:t xml:space="preserve">Zamawiający </w:t>
      </w:r>
      <w:r>
        <w:rPr>
          <w:rFonts w:cs="Times New Roman"/>
          <w:b/>
          <w:u w:val="single"/>
        </w:rPr>
        <w:t>nie żąda</w:t>
      </w:r>
      <w:r>
        <w:rPr>
          <w:rFonts w:cs="Times New Roman"/>
          <w:u w:val="single"/>
        </w:rPr>
        <w:t xml:space="preserve"> aby wykonawca, który zamierza powierzyć wykonanie części zamówienia podwykonawcom, na których zdolnościach Wykonawca </w:t>
      </w:r>
      <w:r>
        <w:rPr>
          <w:rFonts w:cs="Times New Roman"/>
          <w:b/>
          <w:u w:val="single"/>
        </w:rPr>
        <w:t>nie polega</w:t>
      </w:r>
      <w:r>
        <w:rPr>
          <w:rFonts w:cs="Times New Roman"/>
        </w:rPr>
        <w:t>, w celu wykazania braku istnienia wobec nich podstaw wykluczenia z udziału w postępowaniu złożył Jednolite Europejskie Dokumenty Zamówienia.</w:t>
      </w:r>
    </w:p>
    <w:p>
      <w:pPr>
        <w:pStyle w:val="ListParagraph"/>
        <w:numPr>
          <w:ilvl w:val="1"/>
          <w:numId w:val="13"/>
        </w:numPr>
        <w:spacing w:lineRule="auto" w:line="259" w:before="0" w:after="120"/>
        <w:ind w:left="426" w:right="76" w:hanging="432"/>
        <w:contextualSpacing/>
        <w:rPr/>
      </w:pPr>
      <w:r>
        <w:rPr/>
        <w:t xml:space="preserve">W przypadku wspólnego ubiegania się o zamówienie przez wykonawców, oświadczenie, o którym mowa w punkcie 6.1 SIWZ składa każdy z wykonawców wspólnie ubiegających się o zamówienie.  Oświadczenie to potwierdza spełnianie warunków udziału w postępowaniu oraz brak podstaw wykluczenia w zakresie, w którym każdy z wykonawców wykazuje spełnianie warunków udziału w postępowaniu oraz brak podstaw wykluczenia. </w:t>
      </w:r>
    </w:p>
    <w:p>
      <w:pPr>
        <w:pStyle w:val="ListParagraph"/>
        <w:numPr>
          <w:ilvl w:val="1"/>
          <w:numId w:val="13"/>
        </w:numPr>
        <w:spacing w:lineRule="auto" w:line="259" w:before="0" w:after="120"/>
        <w:ind w:left="426" w:right="76" w:hanging="432"/>
        <w:contextualSpacing/>
        <w:rPr/>
      </w:pPr>
      <w:r>
        <w:rPr/>
        <w:t xml:space="preserve">Wykonawca w terminie 3 dni od dnia zamieszczenia na stronie internetowej informacji, o której mowa w art. 86 ust. 5 ustawy Prawo zamówień publicznych przekazuje zamawiającemu oświadczenie o przynależności lub braku przynależności do tej samej grupy kapitałowej, o której mowa w art. 24 ust. 1 pkt 23 ustawy; w przypadku przynależności do tej samej grupy kapitałowej wykonawca może złożyć wraz z oświadczeniem dokumenty bądź informacje potwierdzające, że powiązania z innym wykonawcą nie prowadzą do zakłócenia konkurencji w postępowaniu </w:t>
      </w:r>
      <w:r>
        <w:rPr>
          <w:b/>
          <w:bCs/>
        </w:rPr>
        <w:t>(według wzoru stanowiącego załącznik nr 6 do SIWZ).</w:t>
      </w:r>
      <w:r>
        <w:rPr/>
        <w:t xml:space="preserve"> </w:t>
      </w:r>
    </w:p>
    <w:p>
      <w:pPr>
        <w:pStyle w:val="ListParagraph"/>
        <w:numPr>
          <w:ilvl w:val="1"/>
          <w:numId w:val="13"/>
        </w:numPr>
        <w:spacing w:lineRule="auto" w:line="259" w:before="0" w:after="120"/>
        <w:ind w:left="426" w:right="76" w:hanging="432"/>
        <w:contextualSpacing/>
        <w:rPr/>
      </w:pPr>
      <w:r>
        <w:rPr/>
        <w:t xml:space="preserve">Zamawiający, </w:t>
      </w:r>
      <w:r>
        <w:rPr>
          <w:b/>
        </w:rPr>
        <w:t>wezwie wykonawcę, którego oferta została najwyżej oceniona</w:t>
      </w:r>
      <w:r>
        <w:rPr/>
        <w:t xml:space="preserve">, do złożenia w wyznaczonym, nie krótszym niż 10 dni, terminie aktualnych na dzień złożenia oświadczeń lub dokumentów potwierdzających okoliczności, o których mowa w art. 25 ust. 1 ustawy Prawo zamówień publicznych t.j.: </w:t>
      </w:r>
    </w:p>
    <w:p>
      <w:pPr>
        <w:pStyle w:val="ListParagraph"/>
        <w:numPr>
          <w:ilvl w:val="2"/>
          <w:numId w:val="13"/>
        </w:numPr>
        <w:spacing w:lineRule="auto" w:line="259" w:before="0" w:after="120"/>
        <w:ind w:left="567" w:right="76" w:hanging="567"/>
        <w:contextualSpacing/>
        <w:rPr/>
      </w:pPr>
      <w:r>
        <w:rPr>
          <w:color w:val="auto"/>
        </w:rPr>
        <w:t xml:space="preserve">W zakresie braku podstaw wykluczenia: </w:t>
      </w:r>
    </w:p>
    <w:p>
      <w:pPr>
        <w:pStyle w:val="ListParagraph"/>
        <w:numPr>
          <w:ilvl w:val="0"/>
          <w:numId w:val="14"/>
        </w:numPr>
        <w:spacing w:before="0" w:after="10"/>
        <w:ind w:left="851" w:right="76" w:hanging="360"/>
        <w:contextualSpacing/>
        <w:rPr>
          <w:color w:val="auto"/>
        </w:rPr>
      </w:pPr>
      <w:r>
        <w:rPr>
          <w:bCs/>
          <w:color w:val="auto"/>
        </w:rPr>
        <w:t>Informację z Krajowego Rejestru Karnego</w:t>
      </w:r>
      <w:r>
        <w:rPr>
          <w:color w:val="auto"/>
        </w:rPr>
        <w:t xml:space="preserve"> w zakresie określonym w art. 24 ust. 1 pkt 13, 14 i 21 ustawy, wystawionej nie wcześniej niż 6 miesięcy przed upływem terminu składania ofert;</w:t>
      </w:r>
    </w:p>
    <w:p>
      <w:pPr>
        <w:pStyle w:val="ListParagraph"/>
        <w:numPr>
          <w:ilvl w:val="0"/>
          <w:numId w:val="14"/>
        </w:numPr>
        <w:spacing w:before="0" w:after="10"/>
        <w:ind w:left="851" w:right="76" w:hanging="360"/>
        <w:contextualSpacing/>
        <w:rPr/>
      </w:pPr>
      <w:r>
        <w:rPr/>
        <w:t>zaświadczenia właściwego naczelnika urzędu skarbowego potwierdzającego, że wykonawca nie zalega z opłacaniem podatków, wystawionego nie wcześniej niż 3 miesiące przed upływem terminu składania ofert lub innego dokumentu potwierdzającego, że wykonawca zawarł porozumienie z właściwym organem podatkowym w sprawie spłat tych należności wraz z ewentualnymi odsetkami lub grzywnami, w szczególności uzyskał przewidziane prawem zwolnienie, odroczenie lub rozłożenie na raty zaległych płatności lub wstrzymanie w całości wykonania decyzji właściwego organu;</w:t>
      </w:r>
    </w:p>
    <w:p>
      <w:pPr>
        <w:pStyle w:val="ListParagraph"/>
        <w:numPr>
          <w:ilvl w:val="0"/>
          <w:numId w:val="14"/>
        </w:numPr>
        <w:spacing w:before="0" w:after="10"/>
        <w:ind w:left="851" w:right="76" w:hanging="360"/>
        <w:contextualSpacing/>
        <w:rPr/>
      </w:pPr>
      <w:r>
        <w:rPr/>
        <w:t>zaświadczenia właściwej terenowej jednostki organizacyjnej Zakładu Ubezpieczeń Społecznych lub Kasy Rolniczego Ubezpieczenia Społecznego albo innego dokumentu potwierdzającego, że wykonawca nie zalega z opłacaniem składek na ubezpieczenia społeczne lub zdrowotne, wystawionego nie wcześniej niż 3 miesiące przed upływem terminu składania ofert, lub innego dokumentu potwierdzającego, że wykonawca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w:t>
      </w:r>
    </w:p>
    <w:p>
      <w:pPr>
        <w:pStyle w:val="ListParagraph"/>
        <w:numPr>
          <w:ilvl w:val="0"/>
          <w:numId w:val="14"/>
        </w:numPr>
        <w:spacing w:before="0" w:after="10"/>
        <w:ind w:left="851" w:right="76" w:hanging="360"/>
        <w:contextualSpacing/>
        <w:rPr>
          <w:strike/>
          <w:color w:val="auto"/>
        </w:rPr>
      </w:pPr>
      <w:r>
        <w:rPr>
          <w:bCs/>
          <w:color w:val="auto"/>
        </w:rPr>
        <w:t xml:space="preserve">odpisu </w:t>
      </w:r>
      <w:r>
        <w:rPr>
          <w:color w:val="auto"/>
        </w:rPr>
        <w:t xml:space="preserve">z właściwego rejestru lub z centralnej ewidencji i informacji o działalności gospodarczej, jeżeli odrębne przepisy wymagają wpisu do rejestru lub ewidencji, w celu potwierdzenia braku podstaw wykluczenia na podstawie art. 24 ust. 5 pkt 1 ustawy. </w:t>
      </w:r>
    </w:p>
    <w:p>
      <w:pPr>
        <w:pStyle w:val="ListParagraph"/>
        <w:numPr>
          <w:ilvl w:val="0"/>
          <w:numId w:val="14"/>
        </w:numPr>
        <w:spacing w:before="0" w:after="10"/>
        <w:ind w:left="851" w:right="76" w:hanging="360"/>
        <w:contextualSpacing/>
        <w:rPr>
          <w:color w:val="auto"/>
        </w:rPr>
      </w:pPr>
      <w:r>
        <w:rPr>
          <w:bCs/>
          <w:color w:val="auto"/>
        </w:rPr>
        <w:t>oświadczenia W</w:t>
      </w:r>
      <w:r>
        <w:rPr>
          <w:color w:val="auto"/>
        </w:rPr>
        <w:t>ykonawcy o braku wydania wobec niego prawomocnego wyroku sądu lub ostatecznej decyzji administracyjnej o zaleganiu z uiszczaniem podatków, opłat lub składek na ubezpieczenia społeczne lub zdrowotne albo – w przypadku wydania takiego wyroku lub decyzji – dokumentów potwierdzających dokonanie płatności tych należności wraz z ewentualnymi odsetkami lub grzywnami lub zawarcie wiążącego porozumienia w sprawie spłat tych należności;</w:t>
      </w:r>
    </w:p>
    <w:p>
      <w:pPr>
        <w:pStyle w:val="ListParagraph"/>
        <w:numPr>
          <w:ilvl w:val="0"/>
          <w:numId w:val="14"/>
        </w:numPr>
        <w:spacing w:before="0" w:after="10"/>
        <w:ind w:left="851" w:right="76" w:hanging="360"/>
        <w:contextualSpacing/>
        <w:rPr>
          <w:color w:val="auto"/>
        </w:rPr>
      </w:pPr>
      <w:r>
        <w:rPr>
          <w:bCs/>
          <w:color w:val="auto"/>
        </w:rPr>
        <w:t xml:space="preserve">oświadczenia </w:t>
      </w:r>
      <w:r>
        <w:rPr>
          <w:color w:val="auto"/>
        </w:rPr>
        <w:t xml:space="preserve">wykonawcy o braku orzeczenia wobec niego tytułem środka zapobiegawczego zakazu ubiegania się o zamówienia publiczne </w:t>
      </w:r>
      <w:r>
        <w:rPr>
          <w:b/>
          <w:color w:val="auto"/>
        </w:rPr>
        <w:t>(Zgodnie z wzorem załącznik nr 8 do SIWZ).</w:t>
      </w:r>
    </w:p>
    <w:p>
      <w:pPr>
        <w:pStyle w:val="ListParagraph"/>
        <w:numPr>
          <w:ilvl w:val="0"/>
          <w:numId w:val="14"/>
        </w:numPr>
        <w:spacing w:before="0" w:after="10"/>
        <w:ind w:left="851" w:right="76" w:hanging="360"/>
        <w:contextualSpacing/>
        <w:rPr>
          <w:color w:val="auto"/>
        </w:rPr>
      </w:pPr>
      <w:r>
        <w:rPr/>
        <w:t>oświadczenia wykonawcy o niezaleganiu z opłacaniem podatków i opłat lokalnych, o których mowa w ustawie z dnia 12 stycznia 1991 r. o podatkach i opłatach lokalnych (Dz. U. z 2016 r. poz. 716).</w:t>
      </w:r>
    </w:p>
    <w:p>
      <w:pPr>
        <w:pStyle w:val="ListParagraph"/>
        <w:numPr>
          <w:ilvl w:val="2"/>
          <w:numId w:val="13"/>
        </w:numPr>
        <w:spacing w:lineRule="auto" w:line="259" w:before="0" w:after="120"/>
        <w:ind w:left="567" w:right="76" w:hanging="567"/>
        <w:contextualSpacing/>
        <w:rPr>
          <w:color w:val="auto"/>
        </w:rPr>
      </w:pPr>
      <w:r>
        <w:rPr>
          <w:color w:val="auto"/>
        </w:rPr>
        <w:t xml:space="preserve">Jeżeli wykonawca ma siedzibę lub miejsce zamieszkania poza terytorium Rzeczypospolitej Polskiej, zamiast dokumentów, o których mowa w punkcie 6.5.1. składa: </w:t>
      </w:r>
    </w:p>
    <w:p>
      <w:pPr>
        <w:pStyle w:val="Normal"/>
        <w:numPr>
          <w:ilvl w:val="0"/>
          <w:numId w:val="5"/>
        </w:numPr>
        <w:spacing w:before="0" w:after="10"/>
        <w:ind w:left="1006" w:right="76" w:hanging="286"/>
        <w:rPr/>
      </w:pPr>
      <w:r>
        <w:rPr/>
        <w:t xml:space="preserve">w zakresie, o którym </w:t>
      </w:r>
      <w:r>
        <w:rPr>
          <w:color w:val="auto"/>
        </w:rPr>
        <w:t xml:space="preserve">mowa w punkcie 6.5.1. 1)-4)  </w:t>
      </w:r>
      <w:r>
        <w:rPr/>
        <w:t xml:space="preserve">dokument lub dokumenty wystawione w kraju, w którym wykonawca ma siedzibę lub miejsce zamieszkania, potwierdzające odpowiednio, że: </w:t>
      </w:r>
    </w:p>
    <w:p>
      <w:pPr>
        <w:pStyle w:val="Normal"/>
        <w:numPr>
          <w:ilvl w:val="1"/>
          <w:numId w:val="5"/>
        </w:numPr>
        <w:spacing w:before="0" w:after="9"/>
        <w:ind w:left="1572" w:right="76" w:hanging="427"/>
        <w:rPr/>
      </w:pPr>
      <w:r>
        <w:rPr/>
        <w:t>informację z odpowiedniego rejestru albo, w przypadku braku takiego rejestru, inny równoważny dokument wydany przez właściwy organ sądowy lub administracyjny kraju, w którym wykonawca ma siedzibę lub miejsce zamieszkania lub miejsce zamieszkania ma osoba, której dotyczy informacja albo dokument, w zakresie określonym w art. 24 ust. 1 pkt 13, 14 i 21,</w:t>
      </w:r>
    </w:p>
    <w:p>
      <w:pPr>
        <w:pStyle w:val="Normal"/>
        <w:numPr>
          <w:ilvl w:val="1"/>
          <w:numId w:val="5"/>
        </w:numPr>
        <w:spacing w:before="0" w:after="9"/>
        <w:ind w:left="1572" w:right="76" w:hanging="427"/>
        <w:rPr/>
      </w:pPr>
      <w:r>
        <w:rPr/>
        <w:t xml:space="preserve">nie zalega z opłacaniem podatków, opłat, składek na ubezpieczenie społeczne lub zdrowotne albo że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 - wystawiony nie wcześniej niż 3 miesiące przed upływem terminu składania ofert, </w:t>
      </w:r>
    </w:p>
    <w:p>
      <w:pPr>
        <w:pStyle w:val="Normal"/>
        <w:numPr>
          <w:ilvl w:val="1"/>
          <w:numId w:val="5"/>
        </w:numPr>
        <w:ind w:left="1572" w:right="76" w:hanging="427"/>
        <w:rPr/>
      </w:pPr>
      <w:r>
        <w:rPr/>
        <w:t xml:space="preserve">nie otwarto jego likwidacji ani nie ogłoszono upadłości - wystawione nie wcześniej niż 6 miesięcy przed upływem terminu składania ofert. </w:t>
      </w:r>
    </w:p>
    <w:p>
      <w:pPr>
        <w:pStyle w:val="Normal"/>
        <w:numPr>
          <w:ilvl w:val="0"/>
          <w:numId w:val="5"/>
        </w:numPr>
        <w:ind w:left="1006" w:right="76" w:hanging="286"/>
        <w:rPr/>
      </w:pPr>
      <w:r>
        <w:rPr/>
        <w:t xml:space="preserve">Jeżeli w kraju, w którym wykonawca ma siedzibę lub miejsce zamieszkania lub miejsce zamieszkania ma osoba, której dokument dotyczy, nie wydaje się dokumentów, o których mowa w pkt 1) , 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  </w:t>
      </w:r>
    </w:p>
    <w:p>
      <w:pPr>
        <w:pStyle w:val="ListParagraph"/>
        <w:numPr>
          <w:ilvl w:val="2"/>
          <w:numId w:val="13"/>
        </w:numPr>
        <w:spacing w:lineRule="auto" w:line="259" w:before="0" w:after="120"/>
        <w:ind w:left="567" w:right="76" w:hanging="567"/>
        <w:contextualSpacing/>
        <w:rPr>
          <w:color w:val="auto"/>
        </w:rPr>
      </w:pPr>
      <w:r>
        <w:rPr>
          <w:color w:val="auto"/>
        </w:rPr>
        <w:t xml:space="preserve">W zakresie spełniania warunków udziału w postępowaniu: </w:t>
      </w:r>
    </w:p>
    <w:p>
      <w:pPr>
        <w:pStyle w:val="Normal"/>
        <w:numPr>
          <w:ilvl w:val="0"/>
          <w:numId w:val="6"/>
        </w:numPr>
        <w:spacing w:before="0" w:after="10"/>
        <w:ind w:left="1006" w:right="76" w:hanging="286"/>
        <w:rPr/>
      </w:pPr>
      <w:r>
        <w:rPr>
          <w:b/>
        </w:rPr>
        <w:t>wykaz dostaw</w:t>
      </w:r>
      <w:r>
        <w:rPr/>
        <w:t xml:space="preserve"> wykonanych, a w przypadku świadczeń okresowych lub ciągłych również wykonywanych, w okresie ostatnich 3 lat przed upływem terminu składania ofert, a jeżeli okres prowadzenia działalności jest krótszy - w tym okresie, wraz z podaniem ich wartości, przedmiotu, dat wykonania i podmiotów, na rzecz których usługi zostały wykonane, oraz załączeniem dowodów określających czy te usługi zostały wykonane lub są wykonywane należycie, przy czym dowodami, o których mowa, są referencje bądź inne dokumenty wystawione przez podmiot, na rzecz którego usługi były wykonywane, a w przypadku świadczeń okresowych lub ciągłych są wykonywane, a jeżeli z uzasadnionej przyczyny o obiektywnym charakterze wykonawca nie jest w stanie uzyskać tych dokumentów - oświadczenie wykonawcy; w przypadku świadczeń okresowych lub ciągłych nadal wykonywanych referencje bądź inne dokumenty potwierdzające ich należyte wykonywanie powinny być wydane nie wcześniej niż 3 miesiące przed upływem terminu składania ofert albo wniosków o dopuszczenie do udziału w postępowaniu </w:t>
      </w:r>
      <w:r>
        <w:rPr>
          <w:b/>
        </w:rPr>
        <w:t>(według wzoru stanowiącego załącznik nr 5 do SIWZ).</w:t>
      </w:r>
      <w:r>
        <w:rPr/>
        <w:t xml:space="preserve"> </w:t>
      </w:r>
    </w:p>
    <w:p>
      <w:pPr>
        <w:pStyle w:val="ListParagraph"/>
        <w:numPr>
          <w:ilvl w:val="2"/>
          <w:numId w:val="13"/>
        </w:numPr>
        <w:spacing w:lineRule="auto" w:line="259" w:before="0" w:after="120"/>
        <w:ind w:left="567" w:right="76" w:hanging="567"/>
        <w:contextualSpacing/>
        <w:rPr>
          <w:color w:val="auto"/>
        </w:rPr>
      </w:pPr>
      <w:r>
        <w:rPr>
          <w:color w:val="auto"/>
        </w:rPr>
        <w:t xml:space="preserve">W przypadku wspólnego ubiegania się o zamówienie przez wykonawców, oświadczenia lub dokumenty, o których mowa w punktach 6.5.1 – 6.5.3 SIWZ składa każdy z wykonawców wspólnie ubiegających się o zamówienie. Dokumenty te potwierdzają spełnianie warunków udziału w postępowaniu oraz brak podstaw wykluczenia w zakresie, w którym każdy z wykonawców wykazuje spełnianie warunków udziału w postępowaniu oraz brak podstaw wykluczenia.  </w:t>
      </w:r>
    </w:p>
    <w:p>
      <w:pPr>
        <w:pStyle w:val="ListParagraph"/>
        <w:numPr>
          <w:ilvl w:val="2"/>
          <w:numId w:val="13"/>
        </w:numPr>
        <w:spacing w:lineRule="auto" w:line="259" w:before="0" w:after="120"/>
        <w:ind w:left="567" w:right="76" w:hanging="567"/>
        <w:contextualSpacing/>
        <w:rPr>
          <w:color w:val="auto"/>
        </w:rPr>
      </w:pPr>
      <w:r>
        <w:rPr>
          <w:color w:val="auto"/>
        </w:rPr>
        <w:t xml:space="preserve">W zakresie zapewnienia spełniania przez dostawy sprzętu, wymagań określonych przez Zamawiającego w Specyfikacji Istotnych Warunków Zamówienia w załączniku nr 1 Opis Przedmiotu Zamówienia Wykonawca składa: </w:t>
      </w:r>
    </w:p>
    <w:p>
      <w:pPr>
        <w:pStyle w:val="ListParagraph"/>
        <w:numPr>
          <w:ilvl w:val="3"/>
          <w:numId w:val="13"/>
        </w:numPr>
        <w:spacing w:lineRule="auto" w:line="259" w:before="0" w:after="120"/>
        <w:ind w:left="851" w:right="76" w:hanging="790"/>
        <w:contextualSpacing/>
        <w:rPr>
          <w:color w:val="auto"/>
        </w:rPr>
      </w:pPr>
      <w:r>
        <w:rPr>
          <w:rFonts w:eastAsia="TimesNewRoman,Bold" w:cs="TimesNewRoman,Bold"/>
          <w:bCs/>
          <w:color w:val="auto"/>
        </w:rPr>
        <w:t>W przypadku serwera:</w:t>
      </w:r>
    </w:p>
    <w:p>
      <w:pPr>
        <w:pStyle w:val="ListParagraph"/>
        <w:numPr>
          <w:ilvl w:val="0"/>
          <w:numId w:val="15"/>
        </w:numPr>
        <w:spacing w:lineRule="auto" w:line="259" w:before="0" w:after="120"/>
        <w:ind w:left="1134" w:right="76" w:hanging="218"/>
        <w:contextualSpacing/>
        <w:rPr>
          <w:rFonts w:ascii="Calibri" w:hAnsi="Calibri" w:cs="Calibri" w:asciiTheme="minorHAnsi" w:cstheme="minorHAnsi" w:hAnsiTheme="minorHAnsi"/>
          <w:sz w:val="20"/>
          <w:szCs w:val="20"/>
        </w:rPr>
      </w:pPr>
      <w:r>
        <w:rPr>
          <w:rFonts w:eastAsia="TimesNewRoman,Bold" w:cs="TimesNewRoman,Bold"/>
          <w:bCs/>
          <w:color w:val="auto"/>
          <w:sz w:val="20"/>
          <w:szCs w:val="20"/>
        </w:rPr>
        <w:t xml:space="preserve">wydruk ze strony </w:t>
      </w:r>
      <w:r>
        <w:rPr>
          <w:rFonts w:cs="Calibri" w:cstheme="minorHAnsi"/>
          <w:sz w:val="20"/>
          <w:szCs w:val="20"/>
        </w:rPr>
        <w:t>www.spec.org</w:t>
      </w:r>
      <w:r>
        <w:rPr>
          <w:rFonts w:eastAsia="TimesNewRoman,Bold" w:cs="TimesNewRoman,Bold"/>
          <w:bCs/>
          <w:color w:val="auto"/>
          <w:sz w:val="20"/>
          <w:szCs w:val="20"/>
        </w:rPr>
        <w:t xml:space="preserve"> potwierdzający w</w:t>
      </w:r>
      <w:r>
        <w:rPr>
          <w:rFonts w:cs="Calibri" w:cstheme="minorHAnsi"/>
          <w:sz w:val="20"/>
          <w:szCs w:val="20"/>
        </w:rPr>
        <w:t>ynik wydajności procesora instalowanego w oferowanym serwerze;</w:t>
      </w:r>
    </w:p>
    <w:p>
      <w:pPr>
        <w:pStyle w:val="ListParagraph"/>
        <w:numPr>
          <w:ilvl w:val="0"/>
          <w:numId w:val="15"/>
        </w:numPr>
        <w:spacing w:lineRule="auto" w:line="259" w:before="0" w:after="120"/>
        <w:ind w:left="1134" w:right="76" w:hanging="218"/>
        <w:contextualSpacing/>
        <w:rPr>
          <w:color w:val="auto"/>
          <w:sz w:val="20"/>
          <w:szCs w:val="20"/>
        </w:rPr>
      </w:pPr>
      <w:r>
        <w:rPr>
          <w:color w:val="auto"/>
          <w:sz w:val="20"/>
          <w:szCs w:val="20"/>
        </w:rPr>
        <w:t>Deklarację zgodności CE;</w:t>
      </w:r>
    </w:p>
    <w:p>
      <w:pPr>
        <w:pStyle w:val="ListParagraph"/>
        <w:numPr>
          <w:ilvl w:val="0"/>
          <w:numId w:val="15"/>
        </w:numPr>
        <w:spacing w:lineRule="auto" w:line="259" w:before="0" w:after="120"/>
        <w:ind w:left="1134" w:right="76" w:hanging="218"/>
        <w:contextualSpacing/>
        <w:rPr>
          <w:color w:val="auto"/>
          <w:sz w:val="20"/>
          <w:szCs w:val="20"/>
        </w:rPr>
      </w:pPr>
      <w:r>
        <w:rPr>
          <w:color w:val="auto"/>
          <w:sz w:val="20"/>
          <w:szCs w:val="20"/>
        </w:rPr>
        <w:t>Certyfikat ISO 9001 oraz 14001 dla producenta sprzętu;</w:t>
      </w:r>
    </w:p>
    <w:p>
      <w:pPr>
        <w:pStyle w:val="ListParagraph"/>
        <w:numPr>
          <w:ilvl w:val="0"/>
          <w:numId w:val="15"/>
        </w:numPr>
        <w:spacing w:lineRule="auto" w:line="259" w:before="0" w:after="120"/>
        <w:ind w:left="1134" w:right="76" w:hanging="218"/>
        <w:contextualSpacing/>
        <w:rPr>
          <w:color w:val="auto"/>
          <w:sz w:val="20"/>
          <w:szCs w:val="20"/>
        </w:rPr>
      </w:pPr>
      <w:r>
        <w:rPr>
          <w:color w:val="auto"/>
          <w:sz w:val="20"/>
          <w:szCs w:val="20"/>
        </w:rPr>
        <w:t>Oświadczenia Producenta lub Wykonawcy potwierdzające, że serwis urządzeń będzie realizowany bezpośrednio przez Producenta i/lub we współpracy z Autoryzowanym Partnerem Serwisowym Producenta w przypadku gdy Wykonawca (Oferent) nie posiada takiej autoryzacji.</w:t>
      </w:r>
    </w:p>
    <w:p>
      <w:pPr>
        <w:pStyle w:val="ListParagraph"/>
        <w:numPr>
          <w:ilvl w:val="3"/>
          <w:numId w:val="13"/>
        </w:numPr>
        <w:spacing w:lineRule="auto" w:line="259" w:before="0" w:after="120"/>
        <w:ind w:left="851" w:right="76" w:hanging="790"/>
        <w:contextualSpacing/>
        <w:rPr>
          <w:color w:val="auto"/>
        </w:rPr>
      </w:pPr>
      <w:r>
        <w:rPr>
          <w:color w:val="auto"/>
        </w:rPr>
        <w:t>W przypadku komputera stacjonarnego:</w:t>
      </w:r>
    </w:p>
    <w:p>
      <w:pPr>
        <w:pStyle w:val="ListParagraph"/>
        <w:numPr>
          <w:ilvl w:val="0"/>
          <w:numId w:val="15"/>
        </w:numPr>
        <w:spacing w:lineRule="auto" w:line="259" w:before="0" w:after="120"/>
        <w:ind w:left="1134" w:right="76" w:hanging="218"/>
        <w:contextualSpacing/>
        <w:rPr>
          <w:rFonts w:ascii="Calibri" w:hAnsi="Calibri" w:cs="Calibri" w:asciiTheme="minorHAnsi" w:cstheme="minorHAnsi" w:hAnsiTheme="minorHAnsi"/>
          <w:sz w:val="20"/>
          <w:szCs w:val="20"/>
        </w:rPr>
      </w:pPr>
      <w:r>
        <w:rPr>
          <w:rFonts w:cs="Calibri" w:cstheme="minorHAnsi"/>
          <w:sz w:val="20"/>
          <w:szCs w:val="20"/>
        </w:rPr>
        <w:t>wydruk ze strony https://www.cpubenchmark.net/cpu_list.php</w:t>
      </w:r>
      <w:r>
        <w:rPr/>
        <w:t xml:space="preserve"> </w:t>
      </w:r>
      <w:r>
        <w:rPr>
          <w:rFonts w:cs="Calibri" w:cstheme="minorHAnsi"/>
          <w:sz w:val="20"/>
          <w:szCs w:val="20"/>
        </w:rPr>
        <w:t>potwierdzający wynik wydajności procesora zainstalowanego w oferowanym komputerze;</w:t>
      </w:r>
    </w:p>
    <w:p>
      <w:pPr>
        <w:pStyle w:val="ListParagraph"/>
        <w:numPr>
          <w:ilvl w:val="0"/>
          <w:numId w:val="15"/>
        </w:numPr>
        <w:spacing w:lineRule="auto" w:line="259" w:before="0" w:after="120"/>
        <w:ind w:left="1134" w:right="76" w:hanging="218"/>
        <w:contextualSpacing/>
        <w:rPr>
          <w:rFonts w:ascii="Calibri" w:hAnsi="Calibri" w:cs="Calibri" w:asciiTheme="minorHAnsi" w:cstheme="minorHAnsi" w:hAnsiTheme="minorHAnsi"/>
          <w:sz w:val="20"/>
          <w:szCs w:val="20"/>
        </w:rPr>
      </w:pPr>
      <w:r>
        <w:rPr>
          <w:rFonts w:cs="Calibri" w:cstheme="minorHAnsi"/>
          <w:sz w:val="20"/>
          <w:szCs w:val="20"/>
        </w:rPr>
        <w:t>wydruk ze strony http://www.videocardbenchmark.net/gpu_list.php</w:t>
      </w:r>
      <w:r>
        <w:rPr/>
        <w:t xml:space="preserve"> </w:t>
      </w:r>
      <w:r>
        <w:rPr>
          <w:rFonts w:cs="Calibri" w:cstheme="minorHAnsi"/>
          <w:sz w:val="20"/>
          <w:szCs w:val="20"/>
        </w:rPr>
        <w:t>potwierdzający wynik w teście PassMark Performance Test w G3D Rating oferowanej karty graficznej zainstalowanej w oferowanym komputerze;</w:t>
      </w:r>
    </w:p>
    <w:p>
      <w:pPr>
        <w:pStyle w:val="ListParagraph"/>
        <w:numPr>
          <w:ilvl w:val="0"/>
          <w:numId w:val="15"/>
        </w:numPr>
        <w:spacing w:lineRule="auto" w:line="259" w:before="0" w:after="120"/>
        <w:ind w:left="1134" w:right="76" w:hanging="218"/>
        <w:contextualSpacing/>
        <w:rPr>
          <w:rFonts w:ascii="Calibri" w:hAnsi="Calibri" w:cs="Calibri" w:asciiTheme="minorHAnsi" w:cstheme="minorHAnsi" w:hAnsiTheme="minorHAnsi"/>
          <w:sz w:val="20"/>
          <w:szCs w:val="20"/>
        </w:rPr>
      </w:pPr>
      <w:r>
        <w:rPr>
          <w:rFonts w:cs="Calibri" w:cstheme="minorHAnsi"/>
          <w:sz w:val="20"/>
          <w:szCs w:val="20"/>
        </w:rPr>
        <w:t>certyfikat producenta oferowanego systemu operacyjnego;</w:t>
      </w:r>
    </w:p>
    <w:p>
      <w:pPr>
        <w:pStyle w:val="ListParagraph"/>
        <w:numPr>
          <w:ilvl w:val="0"/>
          <w:numId w:val="15"/>
        </w:numPr>
        <w:spacing w:lineRule="auto" w:line="259" w:before="0" w:after="120"/>
        <w:ind w:left="1134" w:right="76" w:hanging="218"/>
        <w:contextualSpacing/>
        <w:rPr>
          <w:rFonts w:ascii="Calibri" w:hAnsi="Calibri" w:cs="Calibri" w:asciiTheme="minorHAnsi" w:cstheme="minorHAnsi" w:hAnsiTheme="minorHAnsi"/>
          <w:sz w:val="20"/>
          <w:szCs w:val="20"/>
        </w:rPr>
      </w:pPr>
      <w:r>
        <w:rPr>
          <w:rFonts w:cs="Calibri" w:cstheme="minorHAnsi"/>
          <w:sz w:val="20"/>
          <w:szCs w:val="20"/>
        </w:rPr>
        <w:t xml:space="preserve">Certyfikat ISO 9001 dla producenta sprzętu; </w:t>
      </w:r>
    </w:p>
    <w:p>
      <w:pPr>
        <w:pStyle w:val="ListParagraph"/>
        <w:numPr>
          <w:ilvl w:val="0"/>
          <w:numId w:val="15"/>
        </w:numPr>
        <w:spacing w:lineRule="auto" w:line="259" w:before="0" w:after="120"/>
        <w:ind w:left="1134" w:right="76" w:hanging="218"/>
        <w:contextualSpacing/>
        <w:rPr>
          <w:rFonts w:ascii="Calibri" w:hAnsi="Calibri" w:cs="Calibri" w:asciiTheme="minorHAnsi" w:cstheme="minorHAnsi" w:hAnsiTheme="minorHAnsi"/>
          <w:sz w:val="20"/>
          <w:szCs w:val="20"/>
        </w:rPr>
      </w:pPr>
      <w:r>
        <w:rPr>
          <w:rFonts w:cs="Calibri" w:cstheme="minorHAnsi"/>
          <w:sz w:val="20"/>
          <w:szCs w:val="20"/>
        </w:rPr>
        <w:t xml:space="preserve">Deklaracja zgodności CE; </w:t>
      </w:r>
    </w:p>
    <w:p>
      <w:pPr>
        <w:pStyle w:val="ListParagraph"/>
        <w:numPr>
          <w:ilvl w:val="0"/>
          <w:numId w:val="15"/>
        </w:numPr>
        <w:spacing w:lineRule="auto" w:line="259" w:before="0" w:after="120"/>
        <w:ind w:left="1134" w:right="76" w:hanging="218"/>
        <w:contextualSpacing/>
        <w:rPr>
          <w:rFonts w:ascii="Calibri" w:hAnsi="Calibri" w:cs="Calibri" w:asciiTheme="minorHAnsi" w:cstheme="minorHAnsi" w:hAnsiTheme="minorHAnsi"/>
          <w:sz w:val="20"/>
          <w:szCs w:val="20"/>
        </w:rPr>
      </w:pPr>
      <w:r>
        <w:rPr>
          <w:rFonts w:cs="Calibri" w:cstheme="minorHAnsi"/>
          <w:sz w:val="20"/>
          <w:szCs w:val="20"/>
        </w:rPr>
        <w:t xml:space="preserve">Certyfikat TCO – wydruk ze strony </w:t>
      </w:r>
      <w:hyperlink r:id="rId7">
        <w:r>
          <w:rPr>
            <w:rStyle w:val="Czeinternetowe"/>
            <w:rFonts w:cs="Calibri" w:cstheme="minorHAnsi"/>
            <w:sz w:val="20"/>
            <w:szCs w:val="20"/>
          </w:rPr>
          <w:t>https://tcocertified.com/product-finder/</w:t>
        </w:r>
      </w:hyperlink>
      <w:r>
        <w:rPr>
          <w:rFonts w:cs="Calibri" w:cstheme="minorHAnsi"/>
          <w:sz w:val="20"/>
          <w:szCs w:val="20"/>
        </w:rPr>
        <w:t xml:space="preserve">; </w:t>
      </w:r>
    </w:p>
    <w:p>
      <w:pPr>
        <w:pStyle w:val="ListParagraph"/>
        <w:numPr>
          <w:ilvl w:val="0"/>
          <w:numId w:val="15"/>
        </w:numPr>
        <w:spacing w:lineRule="auto" w:line="259" w:before="0" w:after="120"/>
        <w:ind w:left="1134" w:right="76" w:hanging="218"/>
        <w:contextualSpacing/>
        <w:rPr>
          <w:rFonts w:ascii="Calibri" w:hAnsi="Calibri" w:cs="Calibri" w:asciiTheme="minorHAnsi" w:cstheme="minorHAnsi" w:hAnsiTheme="minorHAnsi"/>
          <w:sz w:val="20"/>
          <w:szCs w:val="20"/>
        </w:rPr>
      </w:pPr>
      <w:r>
        <w:rPr>
          <w:rFonts w:cs="Calibri" w:cstheme="minorHAnsi"/>
          <w:sz w:val="20"/>
          <w:szCs w:val="20"/>
        </w:rPr>
        <w:t>Certyfikat ISO 9001 Firmy serwisującej na świadczenie usług serwisowych oraz dokument potwierdzający posiadanie autoryzacji producenta komputera;</w:t>
      </w:r>
    </w:p>
    <w:p>
      <w:pPr>
        <w:pStyle w:val="ListParagraph"/>
        <w:numPr>
          <w:ilvl w:val="0"/>
          <w:numId w:val="15"/>
        </w:numPr>
        <w:spacing w:lineRule="auto" w:line="259" w:before="0" w:after="120"/>
        <w:ind w:left="1134" w:right="76" w:hanging="218"/>
        <w:contextualSpacing/>
        <w:rPr>
          <w:rFonts w:ascii="Calibri" w:hAnsi="Calibri" w:cs="Calibri" w:asciiTheme="minorHAnsi" w:cstheme="minorHAnsi" w:hAnsiTheme="minorHAnsi"/>
          <w:sz w:val="20"/>
          <w:szCs w:val="20"/>
        </w:rPr>
      </w:pPr>
      <w:r>
        <w:rPr>
          <w:rFonts w:cs="Calibri" w:cstheme="minorHAnsi"/>
          <w:bCs/>
          <w:sz w:val="20"/>
          <w:szCs w:val="20"/>
        </w:rPr>
        <w:t>Oświadczenie Wykonawcy lub Producenta lub podmiotu realizującego serwis potwierdzające, że Serwis urządzeń będzie realizowany bezpośrednio przez Producenta i/lub we współpracy z Autoryzowanym Partnerem Serwisowym Producenta a w przypadku awarii dysk twardy zostaje u Zamawiającego;</w:t>
      </w:r>
    </w:p>
    <w:p>
      <w:pPr>
        <w:pStyle w:val="ListParagraph"/>
        <w:numPr>
          <w:ilvl w:val="0"/>
          <w:numId w:val="15"/>
        </w:numPr>
        <w:spacing w:lineRule="auto" w:line="259" w:before="0" w:after="120"/>
        <w:ind w:left="1134" w:right="76" w:hanging="218"/>
        <w:contextualSpacing/>
        <w:rPr>
          <w:rFonts w:ascii="Calibri" w:hAnsi="Calibri" w:cs="Calibri" w:asciiTheme="minorHAnsi" w:cstheme="minorHAnsi" w:hAnsiTheme="minorHAnsi"/>
          <w:sz w:val="20"/>
          <w:szCs w:val="20"/>
        </w:rPr>
      </w:pPr>
      <w:r>
        <w:rPr>
          <w:rFonts w:cs="Calibri" w:cstheme="minorHAnsi"/>
          <w:sz w:val="20"/>
          <w:szCs w:val="20"/>
        </w:rPr>
        <w:t xml:space="preserve">Link do strony umożliwiający </w:t>
      </w:r>
      <w:r>
        <w:rPr>
          <w:rFonts w:cs="Calibri" w:cstheme="minorHAnsi"/>
          <w:bCs/>
          <w:sz w:val="20"/>
          <w:szCs w:val="20"/>
        </w:rPr>
        <w:t>dostęp do najnowszych sterowników i uaktualnień na stronie producenta zestawu realizowany poprzez podanie na dedykowanej stronie internetowej producenta numeru seryjnego lub modelu komputera;</w:t>
      </w:r>
    </w:p>
    <w:p>
      <w:pPr>
        <w:pStyle w:val="ListParagraph"/>
        <w:numPr>
          <w:ilvl w:val="3"/>
          <w:numId w:val="13"/>
        </w:numPr>
        <w:spacing w:lineRule="auto" w:line="259" w:before="0" w:after="120"/>
        <w:ind w:left="851" w:right="76" w:hanging="790"/>
        <w:contextualSpacing/>
        <w:rPr>
          <w:color w:val="auto"/>
        </w:rPr>
      </w:pPr>
      <w:r>
        <w:rPr>
          <w:color w:val="auto"/>
        </w:rPr>
        <w:t>W przypadku notebooka:</w:t>
      </w:r>
    </w:p>
    <w:p>
      <w:pPr>
        <w:pStyle w:val="ListParagraph"/>
        <w:numPr>
          <w:ilvl w:val="0"/>
          <w:numId w:val="15"/>
        </w:numPr>
        <w:spacing w:lineRule="auto" w:line="259" w:before="0" w:after="120"/>
        <w:ind w:left="1134" w:right="76" w:hanging="218"/>
        <w:contextualSpacing/>
        <w:rPr>
          <w:rFonts w:ascii="Calibri" w:hAnsi="Calibri" w:cs="Calibri" w:asciiTheme="minorHAnsi" w:cstheme="minorHAnsi" w:hAnsiTheme="minorHAnsi"/>
          <w:sz w:val="20"/>
          <w:szCs w:val="20"/>
        </w:rPr>
      </w:pPr>
      <w:r>
        <w:rPr>
          <w:rFonts w:cs="Calibri" w:cstheme="minorHAnsi"/>
          <w:sz w:val="20"/>
          <w:szCs w:val="20"/>
        </w:rPr>
        <w:t>wydruk ze strony https://www.cpubenchmark.net/cpu_list.php</w:t>
      </w:r>
      <w:r>
        <w:rPr/>
        <w:t xml:space="preserve"> </w:t>
      </w:r>
      <w:r>
        <w:rPr>
          <w:rFonts w:cs="Calibri" w:cstheme="minorHAnsi"/>
          <w:sz w:val="20"/>
          <w:szCs w:val="20"/>
        </w:rPr>
        <w:t>potwierdzający wynik wydajności procesora zainstalowanego w oferowanym komputerze;</w:t>
      </w:r>
    </w:p>
    <w:p>
      <w:pPr>
        <w:pStyle w:val="ListParagraph"/>
        <w:numPr>
          <w:ilvl w:val="0"/>
          <w:numId w:val="15"/>
        </w:numPr>
        <w:spacing w:lineRule="auto" w:line="259" w:before="0" w:after="120"/>
        <w:ind w:left="1134" w:right="76" w:hanging="218"/>
        <w:contextualSpacing/>
        <w:rPr>
          <w:rFonts w:ascii="Calibri" w:hAnsi="Calibri" w:cs="Calibri" w:asciiTheme="minorHAnsi" w:cstheme="minorHAnsi" w:hAnsiTheme="minorHAnsi"/>
          <w:sz w:val="20"/>
          <w:szCs w:val="20"/>
        </w:rPr>
      </w:pPr>
      <w:r>
        <w:rPr>
          <w:rFonts w:cs="Calibri" w:cstheme="minorHAnsi"/>
          <w:sz w:val="20"/>
          <w:szCs w:val="20"/>
        </w:rPr>
        <w:t xml:space="preserve">Certyfikat ISO 9001 dla producenta sprzętu; </w:t>
      </w:r>
    </w:p>
    <w:p>
      <w:pPr>
        <w:pStyle w:val="ListParagraph"/>
        <w:numPr>
          <w:ilvl w:val="0"/>
          <w:numId w:val="15"/>
        </w:numPr>
        <w:spacing w:lineRule="auto" w:line="259" w:before="0" w:after="120"/>
        <w:ind w:left="1134" w:right="76" w:hanging="218"/>
        <w:contextualSpacing/>
        <w:rPr>
          <w:rFonts w:ascii="Calibri" w:hAnsi="Calibri" w:cs="Calibri" w:asciiTheme="minorHAnsi" w:cstheme="minorHAnsi" w:hAnsiTheme="minorHAnsi"/>
          <w:sz w:val="20"/>
          <w:szCs w:val="20"/>
        </w:rPr>
      </w:pPr>
      <w:r>
        <w:rPr>
          <w:rFonts w:cs="Calibri" w:cstheme="minorHAnsi"/>
          <w:sz w:val="20"/>
          <w:szCs w:val="20"/>
        </w:rPr>
        <w:t xml:space="preserve">Deklaracja zgodności CE; </w:t>
      </w:r>
    </w:p>
    <w:p>
      <w:pPr>
        <w:pStyle w:val="ListParagraph"/>
        <w:numPr>
          <w:ilvl w:val="3"/>
          <w:numId w:val="13"/>
        </w:numPr>
        <w:spacing w:lineRule="auto" w:line="259" w:before="0" w:after="120"/>
        <w:ind w:left="851" w:right="76" w:hanging="790"/>
        <w:contextualSpacing/>
        <w:rPr>
          <w:color w:val="auto"/>
        </w:rPr>
      </w:pPr>
      <w:r>
        <w:rPr>
          <w:color w:val="auto"/>
        </w:rPr>
        <w:t>W przypadku urządzenia wielofunkcyjnego:</w:t>
      </w:r>
    </w:p>
    <w:p>
      <w:pPr>
        <w:pStyle w:val="ListParagraph"/>
        <w:numPr>
          <w:ilvl w:val="0"/>
          <w:numId w:val="15"/>
        </w:numPr>
        <w:spacing w:lineRule="auto" w:line="259" w:before="0" w:after="120"/>
        <w:ind w:left="1134" w:right="76" w:hanging="218"/>
        <w:contextualSpacing/>
        <w:rPr>
          <w:rFonts w:ascii="Calibri" w:hAnsi="Calibri" w:cs="Calibri" w:asciiTheme="minorHAnsi" w:cstheme="minorHAnsi" w:hAnsiTheme="minorHAnsi"/>
          <w:sz w:val="20"/>
          <w:szCs w:val="20"/>
        </w:rPr>
      </w:pPr>
      <w:r>
        <w:rPr>
          <w:rFonts w:cs="Calibri" w:cstheme="minorHAnsi"/>
          <w:sz w:val="20"/>
          <w:szCs w:val="20"/>
        </w:rPr>
        <w:t xml:space="preserve">Certyfikat ISO 9001 oraz ISO 14001 dla producenta sprzętu; </w:t>
      </w:r>
    </w:p>
    <w:p>
      <w:pPr>
        <w:pStyle w:val="ListParagraph"/>
        <w:numPr>
          <w:ilvl w:val="0"/>
          <w:numId w:val="15"/>
        </w:numPr>
        <w:spacing w:lineRule="auto" w:line="259" w:before="0" w:after="120"/>
        <w:ind w:left="1134" w:right="76" w:hanging="218"/>
        <w:contextualSpacing/>
        <w:rPr>
          <w:rFonts w:ascii="Calibri" w:hAnsi="Calibri" w:cs="Calibri" w:asciiTheme="minorHAnsi" w:cstheme="minorHAnsi" w:hAnsiTheme="minorHAnsi"/>
          <w:sz w:val="20"/>
          <w:szCs w:val="20"/>
        </w:rPr>
      </w:pPr>
      <w:r>
        <w:rPr>
          <w:rFonts w:cs="Calibri" w:cstheme="minorHAnsi"/>
          <w:sz w:val="20"/>
          <w:szCs w:val="20"/>
        </w:rPr>
        <w:t xml:space="preserve">Deklaracja zgodności CE; </w:t>
      </w:r>
    </w:p>
    <w:p>
      <w:pPr>
        <w:pStyle w:val="ListParagraph"/>
        <w:numPr>
          <w:ilvl w:val="0"/>
          <w:numId w:val="15"/>
        </w:numPr>
        <w:spacing w:lineRule="auto" w:line="259" w:before="0" w:after="120"/>
        <w:ind w:left="1134" w:right="76" w:hanging="218"/>
        <w:contextualSpacing/>
        <w:rPr>
          <w:rFonts w:ascii="Calibri" w:hAnsi="Calibri" w:cs="Calibri" w:asciiTheme="minorHAnsi" w:cstheme="minorHAnsi" w:hAnsiTheme="minorHAnsi"/>
          <w:sz w:val="20"/>
          <w:szCs w:val="20"/>
        </w:rPr>
      </w:pPr>
      <w:r>
        <w:rPr>
          <w:rFonts w:cs="Calibri" w:cstheme="minorHAnsi"/>
          <w:sz w:val="20"/>
          <w:szCs w:val="20"/>
        </w:rPr>
        <w:t>Dokument potwierdzający, że firma serwisująca posiada ISO 9001 na świadczenie usług serwisowych oraz posiada autoryzacje producenta urządzenia.</w:t>
      </w:r>
      <w:r>
        <w:rPr>
          <w:color w:val="auto"/>
        </w:rPr>
        <w:t xml:space="preserve"> </w:t>
      </w:r>
    </w:p>
    <w:p>
      <w:pPr>
        <w:pStyle w:val="ListParagraph"/>
        <w:numPr>
          <w:ilvl w:val="1"/>
          <w:numId w:val="13"/>
        </w:numPr>
        <w:spacing w:lineRule="auto" w:line="259" w:before="0" w:after="120"/>
        <w:ind w:left="426" w:right="76" w:hanging="432"/>
        <w:contextualSpacing/>
        <w:rPr/>
      </w:pPr>
      <w:r>
        <w:rPr/>
        <w:t xml:space="preserve">Dokumenty lub oświadczenia, o których mowa w punkcie 6.5 SIWZ, składane są w oryginale w postaci dokumentu elektronicznego lub w elektronicznej kopii dokumentu lub oświadczenia poświadczonej za zgodność z oryginałem. </w:t>
      </w:r>
    </w:p>
    <w:p>
      <w:pPr>
        <w:pStyle w:val="ListParagraph"/>
        <w:numPr>
          <w:ilvl w:val="1"/>
          <w:numId w:val="13"/>
        </w:numPr>
        <w:spacing w:lineRule="auto" w:line="259" w:before="0" w:after="120"/>
        <w:ind w:left="426" w:right="76" w:hanging="432"/>
        <w:contextualSpacing/>
        <w:rPr/>
      </w:pPr>
      <w:r>
        <w:rPr/>
        <w:t>Jeżeli oryginał dokumentu lub oświadczenia, o których mowa w art. 25 ust. 1 ustawy, lub inne dokumenty lub oświadczenia składane w postępowaniu o udzielenie zamówienia, nie zostały sporządzone w postaci dokumentu elektronicznego, wykonawca może sporządzić i przekazać elektroniczną kopię posiadanego dokumentu lub oświadczenia.</w:t>
      </w:r>
    </w:p>
    <w:p>
      <w:pPr>
        <w:pStyle w:val="ListParagraph"/>
        <w:numPr>
          <w:ilvl w:val="1"/>
          <w:numId w:val="13"/>
        </w:numPr>
        <w:spacing w:lineRule="auto" w:line="259" w:before="0" w:after="120"/>
        <w:ind w:left="426" w:right="76" w:hanging="432"/>
        <w:contextualSpacing/>
        <w:rPr/>
      </w:pPr>
      <w:r>
        <w:rPr/>
        <w:t>W przypadku przekazywania przez wykonawcę elektronicznej kopii dokumentu lub oświadczenia, opatrzenie jej kwalifikowanym podpisem elektronicznym przez wykonawcę albo odpowiednio przez podmiot, na którego zdolnościach lub sytuacji polega wykonawca na zasadach określonych w art. 22a ustawy, albo przez podwykonawcę jest równoznaczne z poświadczeniem elektronicznej kopii dokumentu lub oświadczenia za zgodność z oryginałem.</w:t>
      </w:r>
    </w:p>
    <w:p>
      <w:pPr>
        <w:pStyle w:val="ListParagraph"/>
        <w:numPr>
          <w:ilvl w:val="1"/>
          <w:numId w:val="13"/>
        </w:numPr>
        <w:spacing w:lineRule="auto" w:line="259" w:before="0" w:after="120"/>
        <w:ind w:left="426" w:right="76" w:hanging="432"/>
        <w:contextualSpacing/>
        <w:rPr/>
      </w:pPr>
      <w:r>
        <w:rPr/>
        <w:t xml:space="preserve">W przypadku wskazania przez wykonawcę dostępności oświadczeń lub dokumentów, o których mowa w punkcie 6.5.1-6.5.2 SIWZ, w formie elektronicznej pod określonymi adresami internetowymi ogólnodostępnych i bezpłatnych baz danych, Zamawiający pobiera samodzielnie z tych baz danych wskazane przez wykonawcę oświadczenia lub dokumenty. </w:t>
      </w:r>
    </w:p>
    <w:p>
      <w:pPr>
        <w:pStyle w:val="ListParagraph"/>
        <w:numPr>
          <w:ilvl w:val="1"/>
          <w:numId w:val="13"/>
        </w:numPr>
        <w:spacing w:lineRule="auto" w:line="259" w:before="0" w:after="120"/>
        <w:ind w:left="426" w:right="76" w:hanging="432"/>
        <w:contextualSpacing/>
        <w:rPr/>
      </w:pPr>
      <w:r>
        <w:rPr/>
        <w:t xml:space="preserve">Zgodnie z art. 26 ust. 6 ustawy prawo zamówień publicznych, Wykonawca nie jest obowiązany do złożenia oświadczeń lub dokumentów potwierdzających okoliczności, o których mowa w art. 25 ust. 1 pkt 1 i 3, jeżeli Zamawiający posiada oświadczenia lub dokumenty dotyczące tego wykonawcy lub może je uzyskać za pomocą bezpłatnych i ogólnodostępnych baz danych, w szczególności rejestrów publicznych w rozumieniu ustawy z dnia 17 lutego 2005 r. o informatyzacji działalności podmiotów realizujących zadania publiczne (t.j. Dz. U. z 2017 r. poz. 570). </w:t>
      </w:r>
    </w:p>
    <w:p>
      <w:pPr>
        <w:pStyle w:val="ListParagraph"/>
        <w:numPr>
          <w:ilvl w:val="1"/>
          <w:numId w:val="13"/>
        </w:numPr>
        <w:spacing w:lineRule="auto" w:line="259" w:before="0" w:after="120"/>
        <w:ind w:left="426" w:right="76" w:hanging="432"/>
        <w:contextualSpacing/>
        <w:rPr/>
      </w:pPr>
      <w:r>
        <w:rPr/>
        <w:t xml:space="preserve">Inne niezbędne dokumenty, które Wykonawca ubiegający się zamówienie publiczne zobowiązany jest złożyć wraz z ofertą: </w:t>
      </w:r>
    </w:p>
    <w:p>
      <w:pPr>
        <w:pStyle w:val="ListParagraph"/>
        <w:numPr>
          <w:ilvl w:val="0"/>
          <w:numId w:val="16"/>
        </w:numPr>
        <w:spacing w:lineRule="auto" w:line="264" w:before="0" w:after="42"/>
        <w:ind w:left="720" w:right="76" w:hanging="360"/>
        <w:contextualSpacing/>
        <w:rPr/>
      </w:pPr>
      <w:r>
        <w:rPr/>
        <w:t>Dokument Jednolitego Europejskiego Dokumentu Zamówienia - Wypełniony i podpisany kwalifikowanym podpisem elektronicznym,</w:t>
      </w:r>
    </w:p>
    <w:p>
      <w:pPr>
        <w:pStyle w:val="ListParagraph"/>
        <w:numPr>
          <w:ilvl w:val="0"/>
          <w:numId w:val="16"/>
        </w:numPr>
        <w:spacing w:lineRule="auto" w:line="264" w:before="0" w:after="42"/>
        <w:ind w:left="720" w:right="76" w:hanging="360"/>
        <w:contextualSpacing/>
        <w:rPr/>
      </w:pPr>
      <w:r>
        <w:rPr/>
        <w:t>Formularz oferty (</w:t>
      </w:r>
      <w:r>
        <w:rPr>
          <w:b/>
        </w:rPr>
        <w:t>według wzoru stanowiącego załącznik nr 2 do SIWZ</w:t>
      </w:r>
      <w:r>
        <w:rPr/>
        <w:t xml:space="preserve">); </w:t>
      </w:r>
    </w:p>
    <w:p>
      <w:pPr>
        <w:pStyle w:val="ListParagraph"/>
        <w:numPr>
          <w:ilvl w:val="0"/>
          <w:numId w:val="16"/>
        </w:numPr>
        <w:spacing w:lineRule="auto" w:line="264" w:before="0" w:after="42"/>
        <w:ind w:left="720" w:right="76" w:hanging="360"/>
        <w:contextualSpacing/>
        <w:rPr/>
      </w:pPr>
      <w:r>
        <w:rPr/>
        <w:t>Wypełniony i podpisany Formularz – Opis przedmiotu oferty (</w:t>
      </w:r>
      <w:r>
        <w:rPr>
          <w:b/>
        </w:rPr>
        <w:t>według wzoru stanowiącego załącznik nr 3 do SIWZ</w:t>
      </w:r>
      <w:r>
        <w:rPr/>
        <w:t xml:space="preserve">); </w:t>
      </w:r>
    </w:p>
    <w:p>
      <w:pPr>
        <w:pStyle w:val="ListParagraph"/>
        <w:numPr>
          <w:ilvl w:val="0"/>
          <w:numId w:val="16"/>
        </w:numPr>
        <w:ind w:left="720" w:right="76" w:hanging="360"/>
        <w:rPr/>
      </w:pPr>
      <w:r>
        <w:rPr/>
        <w:t>Stosowne Pełnomocnictwo(a) -  w przypadku, gdy upoważnienie do podpisania oferty nie wynika bezpośrednio z odpisu z właściwego rejestru albo zaświadczenia o wpisie do ewidencji działalności gospodarczej, zgodnie z punktem 6.9 i 6.10 SIWZ;</w:t>
      </w:r>
    </w:p>
    <w:p>
      <w:pPr>
        <w:pStyle w:val="ListParagraph"/>
        <w:numPr>
          <w:ilvl w:val="0"/>
          <w:numId w:val="16"/>
        </w:numPr>
        <w:ind w:left="720" w:right="76" w:hanging="360"/>
        <w:rPr/>
      </w:pPr>
      <w:r>
        <w:rPr/>
        <w:t>Zobowiązanie, o którym mowa w punkcie 5.7 SIWZ, o ile Wykonawca polega na zasobach innych podmiotów na zasadach określonych w art. 22a ust. 2 ustawy Prawo zamówień publicznych;</w:t>
      </w:r>
    </w:p>
    <w:p>
      <w:pPr>
        <w:pStyle w:val="ListParagraph"/>
        <w:numPr>
          <w:ilvl w:val="0"/>
          <w:numId w:val="16"/>
        </w:numPr>
        <w:ind w:left="720" w:right="76" w:hanging="360"/>
        <w:rPr/>
      </w:pPr>
      <w:r>
        <w:rPr/>
        <w:t xml:space="preserve">Dowód wniesienia kwoty wadium – </w:t>
      </w:r>
      <w:r>
        <w:rPr>
          <w:bCs/>
        </w:rPr>
        <w:t xml:space="preserve">w postaci elektronicznej opatrzonej kwalifikowanym podpisem elektronicznym </w:t>
      </w:r>
      <w:r>
        <w:rPr>
          <w:b/>
        </w:rPr>
        <w:t>(zgodnie z rozdziałem 8 SIWZ).</w:t>
      </w:r>
    </w:p>
    <w:p>
      <w:pPr>
        <w:pStyle w:val="Normal"/>
        <w:ind w:left="426" w:right="76" w:hanging="0"/>
        <w:rPr>
          <w:color w:val="auto"/>
        </w:rPr>
      </w:pPr>
      <w:r>
        <w:rPr>
          <w:color w:val="auto"/>
        </w:rPr>
        <w:t>Pozostałe dokumenty, określone w pkt 6.5 powyżej (w tym m.in. dokumenty potwierdzające spełnianie przez oferowany sprzęt wymagań z OPZ), Wykonawca przedkłada na wezwanie Zamawiającego, na zasadach określonych w tym ustępie.</w:t>
      </w:r>
    </w:p>
    <w:p>
      <w:pPr>
        <w:pStyle w:val="Normal"/>
        <w:ind w:left="426" w:right="76" w:hanging="0"/>
        <w:rPr>
          <w:color w:val="auto"/>
        </w:rPr>
      </w:pPr>
      <w:r>
        <w:rPr>
          <w:color w:val="auto"/>
        </w:rPr>
      </w:r>
    </w:p>
    <w:p>
      <w:pPr>
        <w:pStyle w:val="Nagwek1"/>
        <w:numPr>
          <w:ilvl w:val="0"/>
          <w:numId w:val="11"/>
        </w:numPr>
        <w:shd w:val="clear" w:fill="F7CAAC"/>
        <w:ind w:left="426" w:right="4000" w:hanging="426"/>
        <w:rPr/>
      </w:pPr>
      <w:bookmarkStart w:id="8" w:name="_Toc38874112"/>
      <w:r>
        <w:rPr/>
        <w:t>Informacje o sposobie porozumiewania się zamawiającego z wykonawcami oraz przekazywania oświadczeń lub dokumentów</w:t>
      </w:r>
      <w:bookmarkEnd w:id="8"/>
    </w:p>
    <w:p>
      <w:pPr>
        <w:pStyle w:val="ListParagraph"/>
        <w:numPr>
          <w:ilvl w:val="0"/>
          <w:numId w:val="13"/>
        </w:numPr>
        <w:spacing w:lineRule="auto" w:line="259" w:before="0" w:after="120"/>
        <w:ind w:left="360" w:right="76" w:hanging="360"/>
        <w:contextualSpacing/>
        <w:rPr>
          <w:vanish/>
          <w:highlight w:val="yellow"/>
        </w:rPr>
      </w:pPr>
      <w:r>
        <w:rPr>
          <w:vanish/>
          <w:highlight w:val="yellow"/>
        </w:rPr>
      </w:r>
    </w:p>
    <w:p>
      <w:pPr>
        <w:pStyle w:val="ListParagraph"/>
        <w:numPr>
          <w:ilvl w:val="1"/>
          <w:numId w:val="13"/>
        </w:numPr>
        <w:spacing w:lineRule="auto" w:line="259" w:before="0" w:after="120"/>
        <w:ind w:left="426" w:right="76" w:hanging="432"/>
        <w:contextualSpacing/>
        <w:rPr/>
      </w:pPr>
      <w:r>
        <w:rPr/>
        <w:t>Sposób sporządzenia dokumentów elektronicznych, oświadczeń lub elektronicznych kopii dokumentów lub oświadczeń musi być zgody z wymaganiami określonymi w rozporządzeniu Prezesa Rady Ministrów z dnia 27 czerwca 2017 r. w sprawie użycia środków komunikacji elektronicznej w postępowaniu o udzielenie zamówienia publicznego oraz udostępniania i przechowywania dokumentów elektronicznych (Dz. U. z 2017 poz. 1320 ze zm.) oraz rozporządzeniu Ministra Rozwoju z dnia 26 lipca 2016 r. w sprawie rodzajów dokumentów, jakich może żądać zamawiający od wykonawcy w postępowaniu o udzielenie zamówienia (Dz. U. z 2016, poz. 1126 ze zm.).</w:t>
      </w:r>
    </w:p>
    <w:p>
      <w:pPr>
        <w:pStyle w:val="ListParagraph"/>
        <w:numPr>
          <w:ilvl w:val="1"/>
          <w:numId w:val="13"/>
        </w:numPr>
        <w:spacing w:lineRule="auto" w:line="259" w:before="0" w:after="120"/>
        <w:ind w:left="426" w:right="76" w:hanging="432"/>
        <w:contextualSpacing/>
        <w:rPr/>
      </w:pPr>
      <w:r>
        <w:rPr/>
        <w:t xml:space="preserve">W postępowaniu o udzielenie zamówienia komunikacja między zamawiającym a wykonawcami, w szczególności składanie ofert, dokumentów oraz oświadczeń, w tym oświadczenia składanego na formularzu Jednolitego Europejskiego Dokumentu Zamówienia, sporządzonego zgodnie z wzorem standardowego formularza określonego w rozporządzeniu wykonawczym Komisji Europejskiej wydanym na podstawie art. 59 ust. 2 dyrektywy 2014/24/UE oraz art. 80 ust. 3 dyrektywy 2014/25/UE, zwanego dalej „JEDZ" odbywa się przy użyciu środków komunikacji elektronicznej za pomocą Platformy znajdującej się pod adresem </w:t>
      </w:r>
      <w:hyperlink r:id="rId8">
        <w:r>
          <w:rPr/>
          <w:t>https://spzoz-zielonka.ezamawiajacy.pl</w:t>
        </w:r>
      </w:hyperlink>
      <w:r>
        <w:rPr/>
        <w:t>.</w:t>
      </w:r>
    </w:p>
    <w:p>
      <w:pPr>
        <w:pStyle w:val="ListParagraph"/>
        <w:numPr>
          <w:ilvl w:val="1"/>
          <w:numId w:val="13"/>
        </w:numPr>
        <w:spacing w:lineRule="auto" w:line="259" w:before="0" w:after="120"/>
        <w:ind w:left="426" w:right="76" w:hanging="426"/>
        <w:contextualSpacing/>
        <w:rPr>
          <w:b/>
          <w:b/>
          <w:bCs/>
        </w:rPr>
      </w:pPr>
      <w:r>
        <w:rPr>
          <w:b/>
          <w:bCs/>
        </w:rPr>
        <w:t xml:space="preserve">Wymagania techniczne i organizacyjne wysyłania, odbierania dokumentów elektronicznych oraz informacji przekazywanych przy użyciu środków komunikacji elektronicznej. </w:t>
      </w:r>
    </w:p>
    <w:p>
      <w:pPr>
        <w:pStyle w:val="ListParagraph"/>
        <w:numPr>
          <w:ilvl w:val="2"/>
          <w:numId w:val="13"/>
        </w:numPr>
        <w:spacing w:lineRule="auto" w:line="259" w:before="0" w:after="120"/>
        <w:ind w:left="567" w:right="76" w:hanging="567"/>
        <w:contextualSpacing/>
        <w:rPr/>
      </w:pPr>
      <w:r>
        <w:rPr/>
        <w:t xml:space="preserve">W przedmiotowym postępowaniu strony postępowania przekazują sobie oświadczenia, wnioski, zawiadomienia oraz informacje </w:t>
      </w:r>
      <w:r>
        <w:rPr>
          <w:b/>
          <w:bCs/>
        </w:rPr>
        <w:t xml:space="preserve">elektronicznie za pośrednictwem Platformy znajdującej się pod adresem </w:t>
      </w:r>
      <w:hyperlink r:id="rId9">
        <w:r>
          <w:rPr>
            <w:rStyle w:val="Czeinternetowe"/>
          </w:rPr>
          <w:t>https://spzoz-zielonka.ezamawiajacy.pl</w:t>
        </w:r>
      </w:hyperlink>
      <w:r>
        <w:rPr>
          <w:b/>
          <w:bCs/>
        </w:rPr>
        <w:t xml:space="preserve"> w zakładce „Korespondencja”. </w:t>
      </w:r>
      <w:r>
        <w:rPr/>
        <w:t xml:space="preserve">Użycie przez Wykonawcę do kontaktu z zamawiającym środków komunikacji elektronicznej wymaga uprzedniej akceptacji przez Wykonawcę Regulaminu dostępnego na stronie </w:t>
      </w:r>
      <w:hyperlink r:id="rId10">
        <w:r>
          <w:rPr>
            <w:rStyle w:val="Czeinternetowe"/>
          </w:rPr>
          <w:t>https://spzoz-zielonka.ezamawiajacy.pl</w:t>
        </w:r>
      </w:hyperlink>
      <w:r>
        <w:rPr/>
        <w:t>.</w:t>
      </w:r>
    </w:p>
    <w:p>
      <w:pPr>
        <w:pStyle w:val="ListParagraph"/>
        <w:numPr>
          <w:ilvl w:val="2"/>
          <w:numId w:val="13"/>
        </w:numPr>
        <w:spacing w:lineRule="auto" w:line="259" w:before="0" w:after="120"/>
        <w:ind w:left="567" w:right="76" w:hanging="567"/>
        <w:contextualSpacing/>
        <w:rPr/>
      </w:pPr>
      <w:r>
        <w:rPr/>
        <w:t xml:space="preserve">Wykonawca zainteresowany udziałem w postępowaniu musi posiadać aktywne konto na portalu </w:t>
      </w:r>
      <w:r>
        <w:rPr>
          <w:lang w:eastAsia="en-US" w:bidi="en-US"/>
        </w:rPr>
        <w:t xml:space="preserve">oneplace.marketplanet.pl. </w:t>
      </w:r>
      <w:r>
        <w:rPr/>
        <w:t xml:space="preserve">Zgłoszenie do postępowania wymaga zalogowania Wykonawcy do Systemu na subdomenie </w:t>
      </w:r>
      <w:hyperlink r:id="rId11">
        <w:r>
          <w:rPr>
            <w:rStyle w:val="Czeinternetowe"/>
          </w:rPr>
          <w:t>https://spzoz-zielonka.ezamawiajacy.pl</w:t>
        </w:r>
      </w:hyperlink>
      <w:r>
        <w:rPr>
          <w:lang w:eastAsia="en-US" w:bidi="en-US"/>
        </w:rPr>
        <w:t xml:space="preserve"> </w:t>
      </w:r>
      <w:r>
        <w:rPr/>
        <w:t xml:space="preserve">lub </w:t>
      </w:r>
      <w:hyperlink r:id="rId12">
        <w:r>
          <w:rPr>
            <w:rStyle w:val="Czeinternetowe"/>
            <w:lang w:eastAsia="en-US" w:bidi="en-US"/>
          </w:rPr>
          <w:t>https://oneplace.marketplanet.pl</w:t>
        </w:r>
      </w:hyperlink>
      <w:r>
        <w:rPr>
          <w:lang w:eastAsia="en-US" w:bidi="en-US"/>
        </w:rPr>
        <w:t xml:space="preserve">. </w:t>
      </w:r>
    </w:p>
    <w:p>
      <w:pPr>
        <w:pStyle w:val="ListParagraph"/>
        <w:numPr>
          <w:ilvl w:val="2"/>
          <w:numId w:val="13"/>
        </w:numPr>
        <w:spacing w:lineRule="auto" w:line="259" w:before="0" w:after="120"/>
        <w:ind w:left="567" w:right="76" w:hanging="567"/>
        <w:contextualSpacing/>
        <w:rPr/>
      </w:pPr>
      <w:r>
        <w:rPr/>
        <w:t xml:space="preserve">Wykonawca po wybraniu opcji „przystąp do postępowania” zostanie przekierowany do strony </w:t>
      </w:r>
      <w:hyperlink r:id="rId13">
        <w:r>
          <w:rPr>
            <w:rStyle w:val="Czeinternetowe"/>
            <w:lang w:eastAsia="en-US" w:bidi="en-US"/>
          </w:rPr>
          <w:t>https://oneplace.marketplanet.pl</w:t>
        </w:r>
      </w:hyperlink>
      <w:r>
        <w:rPr>
          <w:lang w:eastAsia="en-US" w:bidi="en-US"/>
        </w:rPr>
        <w:t xml:space="preserve">, </w:t>
      </w:r>
      <w:r>
        <w:rPr/>
        <w:t xml:space="preserve">gdzie zostanie powiadomiony o możliwości zalogowania lub założenia bezpłatnego konta. Wykonawca zakłada konto wykonując kroki procesu rejestracyjnego; podaje adres e-mail, ustanawia hasło, następnie powtarza hasło, wpisuje kod z obrazka, </w:t>
      </w:r>
      <w:r>
        <w:rPr>
          <w:rStyle w:val="Teksttreci2Pogrubienie"/>
          <w:rFonts w:eastAsia="Calibri"/>
        </w:rPr>
        <w:t xml:space="preserve">akceptuje Regulamin, </w:t>
      </w:r>
      <w:r>
        <w:rPr/>
        <w:t xml:space="preserve">klika polecenie „zarejestruj się”. </w:t>
      </w:r>
    </w:p>
    <w:p>
      <w:pPr>
        <w:pStyle w:val="ListParagraph"/>
        <w:numPr>
          <w:ilvl w:val="2"/>
          <w:numId w:val="13"/>
        </w:numPr>
        <w:spacing w:lineRule="auto" w:line="259" w:before="0" w:after="120"/>
        <w:ind w:left="567" w:right="76" w:hanging="567"/>
        <w:contextualSpacing/>
        <w:rPr/>
      </w:pPr>
      <w:r>
        <w:rPr>
          <w:rStyle w:val="Teksttreci2Pogrubienie"/>
          <w:rFonts w:eastAsia="Calibri"/>
        </w:rPr>
        <w:t xml:space="preserve">Rejestracja Wykonawcy trwa maksymalnie do 2 dni roboczych. W związku z tym Zamawiający zaleca Wykonawcom uwzględnienie czasu niezbędnego na rejestrację w procesie złożenia Oferty w postaci elektronicznej. </w:t>
      </w:r>
      <w:r>
        <w:rPr/>
        <w:t xml:space="preserve">Wykonawca wraz z potwierdzeniem złożenia wniosku rejestracyjnego otrzyma informacje, o możliwości przyspieszenia procedury założenia konta, wówczas należy skontaktować się pod numerem telefonu podanym w w/w. potwierdzeniu. </w:t>
      </w:r>
    </w:p>
    <w:p>
      <w:pPr>
        <w:pStyle w:val="ListParagraph"/>
        <w:numPr>
          <w:ilvl w:val="2"/>
          <w:numId w:val="13"/>
        </w:numPr>
        <w:spacing w:lineRule="auto" w:line="259" w:before="0" w:after="120"/>
        <w:ind w:left="567" w:right="76" w:hanging="567"/>
        <w:contextualSpacing/>
        <w:rPr/>
      </w:pPr>
      <w:r>
        <w:rPr/>
        <w:t xml:space="preserve">W przypadku jakichkolwiek wątpliwości związanych z zasadami korzystania z Platformy, w szczególności: z założeniem konta, zalogowaniem się na konto, złożeniem ofert, komunikacją z zamawiającym za pośrednictwem konta, Wykonawca winien skontaktować się z dostawcą rozwiązania teleinformatycznego Platforma zakupowa Marketplanet +48 22 576 87 90, (infolinia dostępna w dni robocze, w godzinach 9.00-17.00) e-mail: </w:t>
      </w:r>
      <w:hyperlink r:id="rId14">
        <w:r>
          <w:rPr>
            <w:rStyle w:val="Czeinternetowe"/>
            <w:lang w:eastAsia="en-US" w:bidi="en-US"/>
          </w:rPr>
          <w:t>oneplace@marketpIanet.pl</w:t>
        </w:r>
      </w:hyperlink>
      <w:r>
        <w:rPr>
          <w:lang w:eastAsia="en-US" w:bidi="en-US"/>
        </w:rPr>
        <w:t xml:space="preserve">. </w:t>
      </w:r>
    </w:p>
    <w:p>
      <w:pPr>
        <w:pStyle w:val="ListParagraph"/>
        <w:numPr>
          <w:ilvl w:val="2"/>
          <w:numId w:val="13"/>
        </w:numPr>
        <w:spacing w:lineRule="auto" w:line="259" w:before="0" w:after="120"/>
        <w:ind w:left="567" w:right="76" w:hanging="567"/>
        <w:contextualSpacing/>
        <w:rPr/>
      </w:pPr>
      <w:r>
        <w:rPr/>
        <w:t xml:space="preserve">Oświadczenia, wnioski, zawiadomienia lub informacje, które wpłyną do Zamawiającego, uważa się za dokumenty złożone w terminie, jeśli ich czytelna treść dotrze do Zamawiającego przed upływem tego terminu. Za datę wpływu oświadczeń, wniosków, zawiadomień oraz informacji przyjmuje się datę ich złożenia na Platformie, tj. datę wygenerowaną przez platformę zakupową. </w:t>
      </w:r>
    </w:p>
    <w:p>
      <w:pPr>
        <w:pStyle w:val="ListParagraph"/>
        <w:numPr>
          <w:ilvl w:val="2"/>
          <w:numId w:val="13"/>
        </w:numPr>
        <w:spacing w:lineRule="auto" w:line="259" w:before="0" w:after="120"/>
        <w:ind w:left="567" w:right="76" w:hanging="567"/>
        <w:contextualSpacing/>
        <w:rPr/>
      </w:pPr>
      <w:r>
        <w:rPr/>
        <w:t xml:space="preserve">Terminem przekazania informacji do wykonawcy przez Zamawiającego jest data wygenerowana przez platformę zakupową. </w:t>
      </w:r>
    </w:p>
    <w:p>
      <w:pPr>
        <w:pStyle w:val="ListParagraph"/>
        <w:numPr>
          <w:ilvl w:val="2"/>
          <w:numId w:val="13"/>
        </w:numPr>
        <w:spacing w:lineRule="auto" w:line="259" w:before="0" w:after="120"/>
        <w:ind w:left="567" w:right="76" w:hanging="567"/>
        <w:contextualSpacing/>
        <w:rPr>
          <w:u w:val="single"/>
        </w:rPr>
      </w:pPr>
      <w:r>
        <w:rPr>
          <w:u w:val="single"/>
        </w:rPr>
        <w:t>Minimalne wymagania techniczne związane z udziałem w postępowaniu.</w:t>
      </w:r>
    </w:p>
    <w:p>
      <w:pPr>
        <w:pStyle w:val="ListParagraph"/>
        <w:numPr>
          <w:ilvl w:val="3"/>
          <w:numId w:val="13"/>
        </w:numPr>
        <w:spacing w:lineRule="auto" w:line="259" w:before="0" w:after="120"/>
        <w:ind w:left="709" w:right="76" w:hanging="709"/>
        <w:contextualSpacing/>
        <w:rPr/>
      </w:pPr>
      <w:r>
        <w:rPr/>
        <w:t>Zamawiający informuje, że dokumenty elektroniczne przekazywane za pośrednictwem środków komunikacji elektronicznej, o których mowa w rozporządzeniu Prezesa Rady Ministrów z dnia 27 czerwca 2017 r. w sprawie użycia środków komunikacji elektronicznej w postępowaniu o udzielenie zamówienia publicznego oraz udostępniania i przechowywania dokumentów elektronicznych (Dz.U. z 2017 r. poz. 1320 ze zm.), są sporządzane w jednym z formatów danych określonych w przepisach wydanych na podstawie art. 18 ustawy z dnia 17 lutego 2005 r. o informatyzacji działalności podmiotów realizujących zadania publiczne (t.j. Dz.U. z 2019 r. poz. 700 z późn. zm.).</w:t>
      </w:r>
    </w:p>
    <w:p>
      <w:pPr>
        <w:pStyle w:val="ListParagraph"/>
        <w:numPr>
          <w:ilvl w:val="3"/>
          <w:numId w:val="13"/>
        </w:numPr>
        <w:spacing w:lineRule="auto" w:line="259" w:before="0" w:after="120"/>
        <w:ind w:left="709" w:right="76" w:hanging="709"/>
        <w:contextualSpacing/>
        <w:rPr/>
      </w:pPr>
      <w:r>
        <w:rPr/>
        <w:t>W przypadku składania oświadczeń woli lub oświadczeń wiedzy w formie elektronicznej Zamawiający rekomenduje złożenie ich w formacie ,,pdf" z kwalifikowanym podpisem elektronicznym osadzonym wewnątrz pliku (tzw. PAdES).</w:t>
      </w:r>
    </w:p>
    <w:p>
      <w:pPr>
        <w:pStyle w:val="ListParagraph"/>
        <w:numPr>
          <w:ilvl w:val="3"/>
          <w:numId w:val="13"/>
        </w:numPr>
        <w:spacing w:lineRule="auto" w:line="259" w:before="0" w:after="120"/>
        <w:ind w:left="709" w:right="76" w:hanging="709"/>
        <w:contextualSpacing/>
        <w:rPr/>
      </w:pPr>
      <w:r>
        <w:rPr/>
        <w:t>Używanie Platformy w pełnym zakresie wymaga spełnienia minimalnych wymagań sprzętowo- aplikacyjnych w tym:</w:t>
      </w:r>
    </w:p>
    <w:p>
      <w:pPr>
        <w:pStyle w:val="ListParagraph"/>
        <w:numPr>
          <w:ilvl w:val="4"/>
          <w:numId w:val="13"/>
        </w:numPr>
        <w:spacing w:lineRule="auto" w:line="259" w:before="0" w:after="120"/>
        <w:ind w:left="993" w:right="76" w:hanging="225"/>
        <w:contextualSpacing/>
        <w:rPr/>
      </w:pPr>
      <w:r>
        <w:rPr/>
        <w:t>Stały dostęp do sieci Internet o gwarantowanej przepustowości nie mniejszej niż 512 kb/s;</w:t>
      </w:r>
    </w:p>
    <w:p>
      <w:pPr>
        <w:pStyle w:val="ListParagraph"/>
        <w:numPr>
          <w:ilvl w:val="4"/>
          <w:numId w:val="13"/>
        </w:numPr>
        <w:spacing w:lineRule="auto" w:line="259" w:before="0" w:after="120"/>
        <w:ind w:left="993" w:right="76" w:hanging="225"/>
        <w:contextualSpacing/>
        <w:rPr/>
      </w:pPr>
      <w:r>
        <w:rPr/>
        <w:t>Komputer klasy PC lub MAC, o następującej konfiguracji: pamięć min 2GB Ram, procesor Intel IV 2GHZ, jeden z systemów operacyjnych - MS Windows 7 , Mac Os x 10.4, Linux, lub ich nowsze wersje;</w:t>
      </w:r>
    </w:p>
    <w:p>
      <w:pPr>
        <w:pStyle w:val="ListParagraph"/>
        <w:numPr>
          <w:ilvl w:val="4"/>
          <w:numId w:val="13"/>
        </w:numPr>
        <w:spacing w:lineRule="auto" w:line="259" w:before="0" w:after="120"/>
        <w:ind w:left="993" w:right="76" w:hanging="225"/>
        <w:contextualSpacing/>
        <w:rPr/>
      </w:pPr>
      <w:r>
        <w:rPr/>
        <w:t>Zainstalowana dowolna przeglądarka internetowa obsługująca TLS 1.2, najlepiej w najnowszej wersji, w przypadku Internet Explorer minimalnie wersja 10.0;</w:t>
      </w:r>
    </w:p>
    <w:p>
      <w:pPr>
        <w:pStyle w:val="ListParagraph"/>
        <w:numPr>
          <w:ilvl w:val="4"/>
          <w:numId w:val="13"/>
        </w:numPr>
        <w:spacing w:lineRule="auto" w:line="259" w:before="0" w:after="120"/>
        <w:ind w:left="993" w:right="76" w:hanging="225"/>
        <w:contextualSpacing/>
        <w:rPr/>
      </w:pPr>
      <w:r>
        <w:rPr/>
        <w:t>Włączona obsługa JavaScript;</w:t>
      </w:r>
    </w:p>
    <w:p>
      <w:pPr>
        <w:pStyle w:val="ListParagraph"/>
        <w:numPr>
          <w:ilvl w:val="4"/>
          <w:numId w:val="13"/>
        </w:numPr>
        <w:spacing w:lineRule="auto" w:line="259" w:before="0" w:after="120"/>
        <w:ind w:left="993" w:right="76" w:hanging="225"/>
        <w:contextualSpacing/>
        <w:rPr/>
      </w:pPr>
      <w:r>
        <w:rPr/>
        <w:t>Zainstalowany program Acrobat Reader lub inny obsługujący pliki w formacie .pdf.</w:t>
      </w:r>
    </w:p>
    <w:p>
      <w:pPr>
        <w:pStyle w:val="ListParagraph"/>
        <w:numPr>
          <w:ilvl w:val="3"/>
          <w:numId w:val="13"/>
        </w:numPr>
        <w:spacing w:lineRule="auto" w:line="259" w:before="0" w:after="120"/>
        <w:ind w:left="709" w:right="76" w:hanging="709"/>
        <w:contextualSpacing/>
        <w:rPr/>
      </w:pPr>
      <w:r>
        <w:rPr/>
        <w:t>Dopuszczalne formaty przesyłanych danych: pliki o wielkości do 100 MB, w formatach: pdf., xls., doc., zip.</w:t>
      </w:r>
    </w:p>
    <w:p>
      <w:pPr>
        <w:pStyle w:val="ListParagraph"/>
        <w:numPr>
          <w:ilvl w:val="3"/>
          <w:numId w:val="13"/>
        </w:numPr>
        <w:spacing w:lineRule="auto" w:line="259" w:before="0" w:after="120"/>
        <w:ind w:left="709" w:right="76" w:hanging="709"/>
        <w:contextualSpacing/>
        <w:rPr/>
      </w:pPr>
      <w:r>
        <w:rPr/>
        <w:t>Plik załączony przez Wykonawcę na Platformie zakupowej i zapisany, widoczny jest w systemie, jako zaszyfrowany - format kodowania UTF8. Możliwość otworzenia pliku dostępna jest dopiero po odszyfrowaniu przez Zamawiającego po upływie terminu składania ofert.</w:t>
      </w:r>
    </w:p>
    <w:p>
      <w:pPr>
        <w:pStyle w:val="ListParagraph"/>
        <w:numPr>
          <w:ilvl w:val="3"/>
          <w:numId w:val="13"/>
        </w:numPr>
        <w:spacing w:lineRule="auto" w:line="259" w:before="0" w:after="120"/>
        <w:ind w:left="709" w:right="76" w:hanging="709"/>
        <w:contextualSpacing/>
        <w:rPr/>
      </w:pPr>
      <w:r>
        <w:rPr/>
        <w:t>Czasem odbioru danych przez Platformę jest data oraz dokładny czas (hh:mm:ss) generowany wg czasu lokalnego serwera synchronizowanego odpowiednim źródłem czasu - zegarem Głównego Urzędu Miar.</w:t>
      </w:r>
    </w:p>
    <w:p>
      <w:pPr>
        <w:pStyle w:val="ListParagraph"/>
        <w:numPr>
          <w:ilvl w:val="1"/>
          <w:numId w:val="13"/>
        </w:numPr>
        <w:spacing w:lineRule="auto" w:line="259" w:before="0" w:after="120"/>
        <w:ind w:left="426" w:right="76" w:hanging="432"/>
        <w:contextualSpacing/>
        <w:rPr/>
      </w:pPr>
      <w:r>
        <w:rPr/>
        <w:t>Oferty oraz JEDZ sporządza się pod rygorem nieważności w postaci elektronicznej i opatruje się kwalifikowanym podpisem elektronicznym.</w:t>
      </w:r>
    </w:p>
    <w:p>
      <w:pPr>
        <w:pStyle w:val="ListParagraph"/>
        <w:numPr>
          <w:ilvl w:val="1"/>
          <w:numId w:val="13"/>
        </w:numPr>
        <w:spacing w:lineRule="auto" w:line="259" w:before="0" w:after="120"/>
        <w:ind w:left="426" w:right="76" w:hanging="432"/>
        <w:contextualSpacing/>
        <w:rPr/>
      </w:pPr>
      <w:r>
        <w:rPr/>
        <w:t>Dokumenty lub oświadczenia, o których mowa w Rozporządzeniu Ministra Rozwoju z dnia 26 lipca 2016 r. w sprawie rodzajów dokumentów jakich może żądać zamawiający od wykonawcy w postępowaniu o udzieleniu zamówienia (Dz. U. z 2016 r., poz. 1126 z późn. zm.), składane są w oryginale w postaci dokumentu elektronicznego lub w elektronicznej kopii dokumentu lub oświadczenia poświadczonej za zgodność z oryginałem opatrzone kwalifikowanym podpisem elektronicznym.</w:t>
      </w:r>
    </w:p>
    <w:p>
      <w:pPr>
        <w:pStyle w:val="ListParagraph"/>
        <w:numPr>
          <w:ilvl w:val="1"/>
          <w:numId w:val="13"/>
        </w:numPr>
        <w:spacing w:lineRule="auto" w:line="259" w:before="0" w:after="120"/>
        <w:ind w:left="426" w:right="76" w:hanging="432"/>
        <w:contextualSpacing/>
        <w:rPr/>
      </w:pPr>
      <w:r>
        <w:rPr/>
        <w:t>Dokumenty lub oświadczenia, o których mowa w Rozporządzeniu Ministra Rozwoju z dnia 26 lipca 2016 r. w sprawie rodzajów dokumentów jaki może żądać zamawiający od wykonawcy w postępowaniu o udzieleniu zamówienia (Dz. U. z 2016 r., poz. 1126 z późn. zm.), sporządzone w języku obcym są składane wraz z tłumaczeniem na język polski.</w:t>
      </w:r>
    </w:p>
    <w:p>
      <w:pPr>
        <w:pStyle w:val="ListParagraph"/>
        <w:numPr>
          <w:ilvl w:val="1"/>
          <w:numId w:val="13"/>
        </w:numPr>
        <w:spacing w:lineRule="auto" w:line="259" w:before="0" w:after="120"/>
        <w:ind w:left="426" w:right="76" w:hanging="432"/>
        <w:contextualSpacing/>
        <w:rPr/>
      </w:pPr>
      <w:r>
        <w:rPr/>
        <w:t xml:space="preserve">W przypadku wskazania przez Wykonawcę dostępności oświadczeń lub dokumentów, o których mowa w § 10 ust. 1 w ww. Rozporządzenia, w formie elektronicznej pod określonymi adresami internetowymi ogólnodostępnych i bezpłatnych baz danych, Zamawiający pobierze samodzielnie ww. dokumenty. </w:t>
      </w:r>
    </w:p>
    <w:p>
      <w:pPr>
        <w:pStyle w:val="ListParagraph"/>
        <w:numPr>
          <w:ilvl w:val="1"/>
          <w:numId w:val="13"/>
        </w:numPr>
        <w:spacing w:lineRule="auto" w:line="259" w:before="0" w:after="120"/>
        <w:ind w:left="426" w:right="76" w:hanging="432"/>
        <w:contextualSpacing/>
        <w:rPr>
          <w:b/>
          <w:b/>
          <w:bCs/>
        </w:rPr>
      </w:pPr>
      <w:r>
        <w:rPr>
          <w:b/>
          <w:bCs/>
          <w:lang w:bidi="pl-PL"/>
        </w:rPr>
        <w:t>Wyjaśnienie i modyfikacje SIWZ oraz przedłużenie terminu składania ofert.</w:t>
      </w:r>
    </w:p>
    <w:p>
      <w:pPr>
        <w:pStyle w:val="ListParagraph"/>
        <w:numPr>
          <w:ilvl w:val="2"/>
          <w:numId w:val="13"/>
        </w:numPr>
        <w:spacing w:lineRule="auto" w:line="259" w:before="0" w:after="120"/>
        <w:ind w:left="567" w:right="76" w:hanging="567"/>
        <w:contextualSpacing/>
        <w:rPr/>
      </w:pPr>
      <w:r>
        <w:rPr/>
        <w:t xml:space="preserve">Wykonawca może zwrócić się do Zamawiającego o wyjaśnienie treści SIWZ. Zamawiający niezwłocznie udzieli wyjaśnień, jednak nie później niż na 6 dni przed upływem terminu składania ofert pod warunkiem, że wniosek o wyjaśnienie treści SIWZ wpłynął do Zamawiającego nie później niż do końca dnia, w którym upływa połowa wyznaczonego terminu składania ofert. </w:t>
      </w:r>
    </w:p>
    <w:p>
      <w:pPr>
        <w:pStyle w:val="ListParagraph"/>
        <w:numPr>
          <w:ilvl w:val="2"/>
          <w:numId w:val="13"/>
        </w:numPr>
        <w:spacing w:lineRule="auto" w:line="259" w:before="0" w:after="120"/>
        <w:ind w:left="567" w:right="76" w:hanging="567"/>
        <w:contextualSpacing/>
        <w:rPr/>
      </w:pPr>
      <w:r>
        <w:rPr/>
        <w:t xml:space="preserve">Wniosek o wyjaśnienie treści SIWZ należy przesłać za pośrednictwem platformy zakupowej: </w:t>
      </w:r>
      <w:hyperlink r:id="rId15">
        <w:r>
          <w:rPr>
            <w:rStyle w:val="Czeinternetowe"/>
          </w:rPr>
          <w:t>https://spzoz-zielonka.ezamawiajacy.pl</w:t>
        </w:r>
      </w:hyperlink>
      <w:r>
        <w:rPr/>
        <w:t xml:space="preserve"> przez opcję „zadaj pytanie” lub przy użyciu zakładki „Korespondencja”. W celu zadania pytania Zamawiającemu, Wykonawca klika lewym przyciskiem myszy klawisz ZADAJ PYTANIE. Powoduje to otwarcie okna, w którym należy uzupełnić wszystkie dane Wykonawcy, temat i treść/przedmiot pytania, po wypełnieniu wskazanych pól wraz z wymaganym kodem weryfikującym z obrazka Wykonawca klika klawisz POTWIERDŹ, wykonawca uzyskuje potwierdzenie wysłania pytania poprzez komunikat systemowy "pytanie wysłane".</w:t>
      </w:r>
    </w:p>
    <w:p>
      <w:pPr>
        <w:pStyle w:val="ListParagraph"/>
        <w:numPr>
          <w:ilvl w:val="2"/>
          <w:numId w:val="13"/>
        </w:numPr>
        <w:spacing w:lineRule="auto" w:line="259" w:before="0" w:after="120"/>
        <w:ind w:left="567" w:right="76" w:hanging="567"/>
        <w:contextualSpacing/>
        <w:rPr/>
      </w:pPr>
      <w:r>
        <w:rPr/>
        <w:t xml:space="preserve">Jeżeli wniosek o wyjaśnienie treści SIWZ wpłynął po upływie terminu składania wniosku, o którym mowa w pkt. 7.8.1., lub dotyczy udzielonych wyjaśnień, Zamawiający może udzielić wyjaśnień albo pozostawić wniosek bez rozpoznania, przy czym przedłużenie terminu składania ofert nie wpływa na bieg terminu </w:t>
      </w:r>
      <w:r>
        <w:rPr>
          <w:b/>
          <w:bCs/>
        </w:rPr>
        <w:t xml:space="preserve">składania ww. wniosku. </w:t>
      </w:r>
    </w:p>
    <w:p>
      <w:pPr>
        <w:pStyle w:val="ListParagraph"/>
        <w:numPr>
          <w:ilvl w:val="2"/>
          <w:numId w:val="13"/>
        </w:numPr>
        <w:spacing w:lineRule="auto" w:line="259" w:before="0" w:after="120"/>
        <w:ind w:left="567" w:right="76" w:hanging="567"/>
        <w:contextualSpacing/>
        <w:rPr/>
      </w:pPr>
      <w:r>
        <w:rPr/>
        <w:t>Treść pytań (bez ujawniania źródła zapytania) wraz z wyjaśnieniami bądź informacje o dokonaniu modyfikacji SIWZ, Zamawiający przekaże Wykonawcom (którym przekazał SIWZ) za pośrednictwem Platformy zakupowej.</w:t>
      </w:r>
    </w:p>
    <w:p>
      <w:pPr>
        <w:pStyle w:val="ListParagraph"/>
        <w:numPr>
          <w:ilvl w:val="2"/>
          <w:numId w:val="13"/>
        </w:numPr>
        <w:spacing w:lineRule="auto" w:line="259" w:before="0" w:after="120"/>
        <w:ind w:left="567" w:right="76" w:hanging="567"/>
        <w:contextualSpacing/>
        <w:rPr/>
      </w:pPr>
      <w:r>
        <w:rPr/>
        <w:t>Zamawiający nie przewiduje zwołania zebrania Wykonawców w celu wyjaśnienia wątpliwości dotyczących SIWZ.</w:t>
      </w:r>
    </w:p>
    <w:p>
      <w:pPr>
        <w:pStyle w:val="ListParagraph"/>
        <w:numPr>
          <w:ilvl w:val="2"/>
          <w:numId w:val="13"/>
        </w:numPr>
        <w:spacing w:lineRule="auto" w:line="259" w:before="0" w:after="120"/>
        <w:ind w:left="567" w:right="76" w:hanging="567"/>
        <w:contextualSpacing/>
        <w:rPr/>
      </w:pPr>
      <w:r>
        <w:rPr/>
        <w:t>W uzasadnionych przypadkach Zamawiający może przed upływem terminu składania ofert, zmienić treść SIWZ.</w:t>
      </w:r>
    </w:p>
    <w:p>
      <w:pPr>
        <w:pStyle w:val="ListParagraph"/>
        <w:numPr>
          <w:ilvl w:val="2"/>
          <w:numId w:val="13"/>
        </w:numPr>
        <w:spacing w:lineRule="auto" w:line="259" w:before="0" w:after="120"/>
        <w:ind w:left="567" w:right="76" w:hanging="567"/>
        <w:contextualSpacing/>
        <w:rPr/>
      </w:pPr>
      <w:r>
        <w:rPr/>
        <w:t xml:space="preserve">W przypadku, gdy zmiana treści SIWZ będzie prowadziła do zmiany treści ogłoszenia o zamówieniu zamieszczonego w Dzienniku Urzędowym Unii Europejskiej, Zamawiający przedłuży termin składania ofert o czas niezbędny do wprowadzenia tych zmian w ofertach, o ile uzna to za konieczne. Ponadto w przypadku, gdy zmiana będzie istotna, tj. w szczególności dotyczyć będzie określenia przedmiotu, wielkości lub zakresu zamówienia, kryteriów oceny ofert, warunków udziału w postępowaniu lub sposobu oceny ich spełniania, Zamawiający przedłuży termin składania ofert o czas niezbędny na wprowadzenie tych zmian w ofertach, z tym że nie będzie on krótszy niż 15 dni od dnia przekazania zmiany ogłoszenia Urzędowi Publikacji Unii Europejskiej. </w:t>
      </w:r>
    </w:p>
    <w:p>
      <w:pPr>
        <w:pStyle w:val="ListParagraph"/>
        <w:spacing w:lineRule="auto" w:line="259" w:before="0" w:after="120"/>
        <w:ind w:left="567" w:right="76" w:hanging="0"/>
        <w:contextualSpacing/>
        <w:rPr/>
      </w:pPr>
      <w:r>
        <w:rPr/>
        <w:t xml:space="preserve">Zamawiający przekaże Urzędowi Publikacji Unii Europejskiej ogłoszenie o zmianie treści ogłoszenia o zamówieniu </w:t>
      </w:r>
      <w:r>
        <w:rPr>
          <w:i/>
          <w:iCs/>
        </w:rPr>
        <w:t>(uwzględniające również ewentualną zmianę terminu składania ofert).</w:t>
      </w:r>
    </w:p>
    <w:p>
      <w:pPr>
        <w:pStyle w:val="ListParagraph"/>
        <w:numPr>
          <w:ilvl w:val="2"/>
          <w:numId w:val="13"/>
        </w:numPr>
        <w:spacing w:lineRule="auto" w:line="259" w:before="0" w:after="120"/>
        <w:ind w:left="567" w:right="76" w:hanging="567"/>
        <w:contextualSpacing/>
        <w:rPr/>
      </w:pPr>
      <w:r>
        <w:rPr/>
        <w:t>Zamawiający przedłuży termin składania ofert, jeżeli w wyniku zmiany treści SIWZ, nieprowadzącej do zmiany treści ogłoszenia o zamówieniu, niezbędny będzie dodatkowy czas na wprowadzenie zmian w ofertach. O przedłużeniu terminu składania ofert Zamawiający poinformuje Wykonawców, którym przekazano SIWZ. Zamawiający przekaże Urzędowi Publikacji Unii Europejskiej ogłoszenie o zmianie ogłoszenia uwzględniające zmianę terminu składania ofert.</w:t>
      </w:r>
    </w:p>
    <w:p>
      <w:pPr>
        <w:pStyle w:val="ListParagraph"/>
        <w:numPr>
          <w:ilvl w:val="2"/>
          <w:numId w:val="13"/>
        </w:numPr>
        <w:spacing w:lineRule="auto" w:line="259" w:before="0" w:after="120"/>
        <w:ind w:left="567" w:right="76" w:hanging="567"/>
        <w:contextualSpacing/>
        <w:rPr/>
      </w:pPr>
      <w:r>
        <w:rPr/>
        <w:t>W przypadku przedłużenia terminu wszelkie prawa i zobowiązania Zamawiającego i Wykonawcy odnośnie wcześniej ustalonego terminu będą podlegały nowemu terminowi.</w:t>
      </w:r>
    </w:p>
    <w:p>
      <w:pPr>
        <w:pStyle w:val="Normal"/>
        <w:ind w:left="0" w:right="76" w:hanging="0"/>
        <w:rPr/>
      </w:pPr>
      <w:r>
        <w:rPr/>
      </w:r>
    </w:p>
    <w:p>
      <w:pPr>
        <w:pStyle w:val="Nagwek1"/>
        <w:numPr>
          <w:ilvl w:val="0"/>
          <w:numId w:val="11"/>
        </w:numPr>
        <w:shd w:val="clear" w:fill="F7CAAC"/>
        <w:ind w:left="426" w:right="4000" w:hanging="426"/>
        <w:rPr/>
      </w:pPr>
      <w:bookmarkStart w:id="9" w:name="_Toc38874113"/>
      <w:r>
        <w:rPr/>
        <w:t>Wymagania dotyczące wadium</w:t>
      </w:r>
      <w:bookmarkEnd w:id="9"/>
      <w:r>
        <w:rPr/>
        <w:t xml:space="preserve"> </w:t>
      </w:r>
    </w:p>
    <w:p>
      <w:pPr>
        <w:pStyle w:val="ListParagraph"/>
        <w:numPr>
          <w:ilvl w:val="0"/>
          <w:numId w:val="13"/>
        </w:numPr>
        <w:spacing w:lineRule="auto" w:line="259" w:before="0" w:after="120"/>
        <w:ind w:left="360" w:right="76" w:hanging="360"/>
        <w:contextualSpacing/>
        <w:rPr>
          <w:vanish/>
        </w:rPr>
      </w:pPr>
      <w:r>
        <w:rPr>
          <w:vanish/>
        </w:rPr>
      </w:r>
    </w:p>
    <w:p>
      <w:pPr>
        <w:pStyle w:val="ListParagraph"/>
        <w:numPr>
          <w:ilvl w:val="1"/>
          <w:numId w:val="13"/>
        </w:numPr>
        <w:spacing w:lineRule="auto" w:line="259" w:before="0" w:after="120"/>
        <w:ind w:left="426" w:right="76" w:hanging="432"/>
        <w:contextualSpacing/>
        <w:rPr/>
      </w:pPr>
      <w:r>
        <w:rPr/>
        <w:t xml:space="preserve">Przystępując do niniejszego postępowania każdy Wykonawca zobowiązany jest wnieść </w:t>
      </w:r>
      <w:r>
        <w:rPr>
          <w:b/>
          <w:bCs/>
        </w:rPr>
        <w:t>wadium, w wysokości: 10.000,00 zł</w:t>
      </w:r>
      <w:r>
        <w:rPr/>
        <w:t xml:space="preserve"> (słownie: dwadzieścia tysięcy złotych 00/100). </w:t>
      </w:r>
    </w:p>
    <w:p>
      <w:pPr>
        <w:pStyle w:val="ListParagraph"/>
        <w:numPr>
          <w:ilvl w:val="1"/>
          <w:numId w:val="13"/>
        </w:numPr>
        <w:spacing w:lineRule="auto" w:line="259" w:before="0" w:after="120"/>
        <w:ind w:left="426" w:right="76" w:hanging="432"/>
        <w:contextualSpacing/>
        <w:rPr/>
      </w:pPr>
      <w:r>
        <w:rPr/>
        <w:t xml:space="preserve">Wykonawca może wnieść wadium w jednej lub kilku formach przewidzianych w art. 45 ust. 6 ustawy, tj.: </w:t>
      </w:r>
    </w:p>
    <w:p>
      <w:pPr>
        <w:pStyle w:val="Normal"/>
        <w:numPr>
          <w:ilvl w:val="0"/>
          <w:numId w:val="7"/>
        </w:numPr>
        <w:ind w:left="799" w:right="76" w:hanging="360"/>
        <w:rPr/>
      </w:pPr>
      <w:r>
        <w:rPr/>
        <w:t xml:space="preserve">pieniądzu, </w:t>
      </w:r>
    </w:p>
    <w:p>
      <w:pPr>
        <w:pStyle w:val="Normal"/>
        <w:numPr>
          <w:ilvl w:val="0"/>
          <w:numId w:val="7"/>
        </w:numPr>
        <w:ind w:left="799" w:right="76" w:hanging="360"/>
        <w:rPr/>
      </w:pPr>
      <w:r>
        <w:rPr/>
        <w:t xml:space="preserve">poręczeniach bankowych lub poręczeniach spółdzielczej kasy oszczędnościowo – kredytowej, z tym że poręczenie kasy jest zawsze poręczeniem pieniężnym, </w:t>
      </w:r>
    </w:p>
    <w:p>
      <w:pPr>
        <w:pStyle w:val="Normal"/>
        <w:numPr>
          <w:ilvl w:val="0"/>
          <w:numId w:val="7"/>
        </w:numPr>
        <w:spacing w:lineRule="auto" w:line="264" w:before="0" w:after="40"/>
        <w:ind w:left="799" w:right="76" w:hanging="360"/>
        <w:rPr/>
      </w:pPr>
      <w:r>
        <w:rPr/>
        <w:t xml:space="preserve">gwarancjach bankowych, </w:t>
      </w:r>
    </w:p>
    <w:p>
      <w:pPr>
        <w:pStyle w:val="Normal"/>
        <w:numPr>
          <w:ilvl w:val="0"/>
          <w:numId w:val="7"/>
        </w:numPr>
        <w:spacing w:lineRule="auto" w:line="264" w:before="0" w:after="40"/>
        <w:ind w:left="799" w:right="76" w:hanging="360"/>
        <w:rPr/>
      </w:pPr>
      <w:r>
        <w:rPr/>
        <w:t xml:space="preserve">gwarancjach ubezpieczeniowych, </w:t>
      </w:r>
    </w:p>
    <w:p>
      <w:pPr>
        <w:pStyle w:val="Normal"/>
        <w:numPr>
          <w:ilvl w:val="0"/>
          <w:numId w:val="7"/>
        </w:numPr>
        <w:spacing w:before="0" w:after="10"/>
        <w:ind w:left="799" w:right="76" w:hanging="360"/>
        <w:rPr/>
      </w:pPr>
      <w:r>
        <w:rPr/>
        <w:t xml:space="preserve">poręczeniach udzielanych przez podmioty, o których mowa w art. 6 b ust. 5 pkt 2 ustawy z dnia 9 listopada 2000r. o utworzeniu Polskiej Agencji Rozwoju Przedsiębiorczości (t.j. Dz. U. z 2016 r. poz. 359 ze zm.). </w:t>
      </w:r>
    </w:p>
    <w:p>
      <w:pPr>
        <w:pStyle w:val="ListParagraph"/>
        <w:numPr>
          <w:ilvl w:val="1"/>
          <w:numId w:val="13"/>
        </w:numPr>
        <w:spacing w:lineRule="auto" w:line="259" w:before="0" w:after="120"/>
        <w:ind w:left="426" w:right="76" w:hanging="432"/>
        <w:contextualSpacing/>
        <w:rPr>
          <w:b/>
          <w:b/>
          <w:bCs/>
        </w:rPr>
      </w:pPr>
      <w:r>
        <w:rPr>
          <w:b/>
          <w:bCs/>
        </w:rPr>
        <w:t xml:space="preserve">Wykonawca zobowiązany jest wnieść wadium przed upływem terminu składania ofert. </w:t>
      </w:r>
    </w:p>
    <w:p>
      <w:pPr>
        <w:pStyle w:val="ListParagraph"/>
        <w:numPr>
          <w:ilvl w:val="1"/>
          <w:numId w:val="13"/>
        </w:numPr>
        <w:spacing w:lineRule="auto" w:line="259" w:before="0" w:after="120"/>
        <w:ind w:left="426" w:right="76" w:hanging="432"/>
        <w:contextualSpacing/>
        <w:rPr/>
      </w:pPr>
      <w:r>
        <w:rPr/>
        <w:t xml:space="preserve">Wadium w pieniądzu należy wnieść przelewem  na rachunek Zamawiającego: </w:t>
      </w:r>
      <w:r>
        <w:rPr>
          <w:b/>
          <w:bCs/>
        </w:rPr>
        <w:t>40 1240 6335 1111 0000 5129 2850 – z opisem  „wadium-sprzęt e-usługi SPZOZ-MOZ w Zielonce”</w:t>
      </w:r>
      <w:r>
        <w:rPr/>
        <w:t>.</w:t>
      </w:r>
    </w:p>
    <w:p>
      <w:pPr>
        <w:pStyle w:val="ListParagraph"/>
        <w:numPr>
          <w:ilvl w:val="1"/>
          <w:numId w:val="13"/>
        </w:numPr>
        <w:spacing w:lineRule="auto" w:line="259" w:before="0" w:after="120"/>
        <w:ind w:left="426" w:right="76" w:hanging="432"/>
        <w:contextualSpacing/>
        <w:rPr/>
      </w:pPr>
      <w:r>
        <w:rPr/>
        <w:t xml:space="preserve">W przypadku wadium wnoszonego w pieniądzu, jako termin wniesienia wadium przyjęty zostaje termin uznania kwoty na rachunku Zamawiającego. </w:t>
      </w:r>
    </w:p>
    <w:p>
      <w:pPr>
        <w:pStyle w:val="ListParagraph"/>
        <w:numPr>
          <w:ilvl w:val="1"/>
          <w:numId w:val="13"/>
        </w:numPr>
        <w:spacing w:lineRule="auto" w:line="259" w:before="0" w:after="120"/>
        <w:ind w:left="426" w:right="76" w:hanging="432"/>
        <w:contextualSpacing/>
        <w:rPr/>
      </w:pPr>
      <w:r>
        <w:rPr/>
        <w:t xml:space="preserve">Wadium musi być wniesione przed upływem wyznaczonego terminu składania ofert, tj. przed dniem </w:t>
      </w:r>
      <w:r>
        <w:rPr>
          <w:b/>
          <w:bCs/>
        </w:rPr>
        <w:t>07.09.2020 r.</w:t>
      </w:r>
    </w:p>
    <w:p>
      <w:pPr>
        <w:pStyle w:val="ListParagraph"/>
        <w:numPr>
          <w:ilvl w:val="1"/>
          <w:numId w:val="13"/>
        </w:numPr>
        <w:spacing w:lineRule="auto" w:line="259" w:before="0" w:after="120"/>
        <w:ind w:left="426" w:right="76" w:hanging="432"/>
        <w:contextualSpacing/>
        <w:rPr/>
      </w:pPr>
      <w:r>
        <w:rPr/>
        <w:t xml:space="preserve">Wadium w formie innej niż pieniężna Wykonawca wnosi w formie elektronicznej poprzez dołączenie do oferty oryginału dokumentu wadialnego. Dokument wadium powinien być opatrzony kwalifikowanym podpisem elektronicznym osób upoważnionych do jego wystawienia (wystawców dokumentu), i </w:t>
      </w:r>
      <w:r>
        <w:rPr>
          <w:b/>
        </w:rPr>
        <w:t>wraz z plikami stanowiącymi ofertę skompresowany do jednego pliku archiwum (ZIP).</w:t>
      </w:r>
      <w:r>
        <w:rPr/>
        <w:t xml:space="preserve"> Beneficjentem wadium wnoszonego w innej formie niż w pieniądzu jest SPZOZ-MOZ w Zielonce. </w:t>
      </w:r>
    </w:p>
    <w:p>
      <w:pPr>
        <w:pStyle w:val="ListParagraph"/>
        <w:numPr>
          <w:ilvl w:val="1"/>
          <w:numId w:val="13"/>
        </w:numPr>
        <w:spacing w:lineRule="auto" w:line="259" w:before="0" w:after="120"/>
        <w:ind w:left="426" w:right="76" w:hanging="432"/>
        <w:contextualSpacing/>
        <w:rPr/>
      </w:pPr>
      <w:r>
        <w:rPr/>
        <w:t xml:space="preserve">Wadium wniesione w formie gwarancji/poręczenia powinno zawierać klauzulę o gwarantowaniu wypłaty należności w sposób nieodwołalny, bezwarunkowy i na pierwsze pisemne żądanie SPZOZ-MOZ w Zielonce. Tak wnoszone wadium powinno zabezpieczać złożoną ofertę na cały okres związania ofertą, poczynając od dnia składania ofert. </w:t>
      </w:r>
    </w:p>
    <w:p>
      <w:pPr>
        <w:pStyle w:val="ListParagraph"/>
        <w:numPr>
          <w:ilvl w:val="1"/>
          <w:numId w:val="13"/>
        </w:numPr>
        <w:spacing w:lineRule="auto" w:line="259" w:before="0" w:after="120"/>
        <w:ind w:left="426" w:right="76" w:hanging="432"/>
        <w:contextualSpacing/>
        <w:rPr/>
      </w:pPr>
      <w:r>
        <w:rPr/>
        <w:t xml:space="preserve">Nie wniesienie wadium lub wniesienie w sposób nieprawidłowy, spowoduje odrzucenie oferty na podstawie art. 89 ust. 1 pkt 7b ustawy Prawo zamówień publicznych.  </w:t>
      </w:r>
    </w:p>
    <w:p>
      <w:pPr>
        <w:pStyle w:val="Normal"/>
        <w:spacing w:before="0" w:after="212"/>
        <w:ind w:left="7" w:right="76" w:hanging="10"/>
        <w:rPr/>
      </w:pPr>
      <w:r>
        <w:rPr/>
      </w:r>
    </w:p>
    <w:p>
      <w:pPr>
        <w:pStyle w:val="Nagwek1"/>
        <w:numPr>
          <w:ilvl w:val="0"/>
          <w:numId w:val="11"/>
        </w:numPr>
        <w:shd w:val="clear" w:fill="F7CAAC"/>
        <w:ind w:left="426" w:right="4000" w:hanging="426"/>
        <w:rPr/>
      </w:pPr>
      <w:bookmarkStart w:id="10" w:name="_Toc38874114"/>
      <w:r>
        <w:rPr/>
        <w:t>Termin związania ofertą</w:t>
      </w:r>
      <w:bookmarkEnd w:id="10"/>
    </w:p>
    <w:p>
      <w:pPr>
        <w:pStyle w:val="ListParagraph"/>
        <w:numPr>
          <w:ilvl w:val="0"/>
          <w:numId w:val="13"/>
        </w:numPr>
        <w:spacing w:lineRule="auto" w:line="259" w:before="0" w:after="120"/>
        <w:ind w:left="360" w:right="76" w:hanging="360"/>
        <w:contextualSpacing/>
        <w:rPr>
          <w:vanish/>
        </w:rPr>
      </w:pPr>
      <w:r>
        <w:rPr>
          <w:vanish/>
        </w:rPr>
      </w:r>
    </w:p>
    <w:p>
      <w:pPr>
        <w:pStyle w:val="ListParagraph"/>
        <w:numPr>
          <w:ilvl w:val="1"/>
          <w:numId w:val="13"/>
        </w:numPr>
        <w:spacing w:lineRule="auto" w:line="259" w:before="0" w:after="120"/>
        <w:ind w:left="426" w:right="76" w:hanging="432"/>
        <w:contextualSpacing/>
        <w:rPr/>
      </w:pPr>
      <w:r>
        <w:rPr/>
        <w:t xml:space="preserve">Wykonawca pozostaje </w:t>
      </w:r>
      <w:r>
        <w:rPr>
          <w:b/>
          <w:bCs/>
        </w:rPr>
        <w:t>związany złożoną ofertą przez 60 dni</w:t>
      </w:r>
      <w:r>
        <w:rPr/>
        <w:t xml:space="preserve">.  </w:t>
      </w:r>
    </w:p>
    <w:p>
      <w:pPr>
        <w:pStyle w:val="ListParagraph"/>
        <w:numPr>
          <w:ilvl w:val="1"/>
          <w:numId w:val="13"/>
        </w:numPr>
        <w:spacing w:lineRule="auto" w:line="259" w:before="0" w:after="120"/>
        <w:ind w:left="426" w:right="76" w:hanging="432"/>
        <w:contextualSpacing/>
        <w:rPr/>
      </w:pPr>
      <w:r>
        <w:rPr/>
        <w:t xml:space="preserve">Bieg terminu związania ofertą rozpoczyna się wraz z upływem terminu składania ofert.   </w:t>
      </w:r>
    </w:p>
    <w:p>
      <w:pPr>
        <w:pStyle w:val="ListParagraph"/>
        <w:numPr>
          <w:ilvl w:val="1"/>
          <w:numId w:val="13"/>
        </w:numPr>
        <w:spacing w:lineRule="auto" w:line="259" w:before="0" w:after="120"/>
        <w:ind w:left="426" w:right="76" w:hanging="432"/>
        <w:contextualSpacing/>
        <w:rPr/>
      </w:pPr>
      <w:r>
        <w:rPr/>
        <w:t xml:space="preserve">Wykonawca samodzielnie lub na wniosek zamawiającego może przedłużyć termin związania ofertą, z tym że zamawiający może tylko raz, co najmniej na 3 dni przed upływem terminu związania ofertą, zwrócić się do wykonawców o wyrażenie zgody na przedłużenie tego terminu o oznaczony okres, nie dłuższy jednak niż 60 dni.  </w:t>
      </w:r>
    </w:p>
    <w:p>
      <w:pPr>
        <w:pStyle w:val="ListParagraph"/>
        <w:numPr>
          <w:ilvl w:val="1"/>
          <w:numId w:val="13"/>
        </w:numPr>
        <w:spacing w:lineRule="auto" w:line="259" w:before="0" w:after="120"/>
        <w:ind w:left="426" w:right="76" w:hanging="432"/>
        <w:contextualSpacing/>
        <w:rPr/>
      </w:pPr>
      <w:r>
        <w:rPr/>
        <w:t xml:space="preserve">Zamawiający odrzuca ofertę jeżeli wykonawca nie wyraził zgody, o której mowa w pkt 9.3, na przedłużenie terminu związania ofertą. Odmowa wyrażenia zgody, nie powoduje utraty wadium.  </w:t>
      </w:r>
    </w:p>
    <w:p>
      <w:pPr>
        <w:pStyle w:val="ListParagraph"/>
        <w:numPr>
          <w:ilvl w:val="1"/>
          <w:numId w:val="13"/>
        </w:numPr>
        <w:spacing w:lineRule="auto" w:line="259" w:before="0" w:after="120"/>
        <w:ind w:left="426" w:right="76" w:hanging="432"/>
        <w:contextualSpacing/>
        <w:rPr/>
      </w:pPr>
      <w:r>
        <w:rPr/>
        <w:t xml:space="preserve">Przedłużenie terminu związania ofertą jest dopuszczalne tylko z jednoczesnym przedłużeniem okresu ważności wadium, albo, jeżeli nie jest to możliwe, z wniesieniem nowego wadium na przedłużony okres związania ofertą. Jeżeli przedłużenie terminu związania ofertą dokonywane jest po wyborze oferty najkorzystniejszej, obowiązek wniesienia nowego wadium lub jego przedłużenia dotyczy jedynie wykonawcy, którego oferta została wybrana jako najkorzystniejsza. </w:t>
      </w:r>
    </w:p>
    <w:p>
      <w:pPr>
        <w:pStyle w:val="Normal"/>
        <w:spacing w:before="0" w:after="212"/>
        <w:ind w:left="7" w:right="76" w:hanging="10"/>
        <w:rPr/>
      </w:pPr>
      <w:r>
        <w:rPr/>
      </w:r>
    </w:p>
    <w:p>
      <w:pPr>
        <w:pStyle w:val="Nagwek1"/>
        <w:numPr>
          <w:ilvl w:val="0"/>
          <w:numId w:val="11"/>
        </w:numPr>
        <w:shd w:val="clear" w:fill="F7CAAC"/>
        <w:ind w:left="426" w:right="4000" w:hanging="426"/>
        <w:rPr/>
      </w:pPr>
      <w:bookmarkStart w:id="11" w:name="_Toc38874115"/>
      <w:r>
        <w:rPr/>
        <w:t>Opis sposobu przygotowania ofert</w:t>
      </w:r>
      <w:bookmarkEnd w:id="11"/>
    </w:p>
    <w:p>
      <w:pPr>
        <w:pStyle w:val="ListParagraph"/>
        <w:numPr>
          <w:ilvl w:val="0"/>
          <w:numId w:val="13"/>
        </w:numPr>
        <w:spacing w:lineRule="auto" w:line="259" w:before="0" w:after="120"/>
        <w:ind w:left="360" w:right="76" w:hanging="360"/>
        <w:contextualSpacing/>
        <w:rPr>
          <w:vanish/>
        </w:rPr>
      </w:pPr>
      <w:r>
        <w:rPr>
          <w:vanish/>
        </w:rPr>
      </w:r>
    </w:p>
    <w:p>
      <w:pPr>
        <w:pStyle w:val="ListParagraph"/>
        <w:numPr>
          <w:ilvl w:val="1"/>
          <w:numId w:val="13"/>
        </w:numPr>
        <w:spacing w:lineRule="auto" w:line="259" w:before="0" w:after="120"/>
        <w:ind w:left="567" w:right="76" w:hanging="573"/>
        <w:contextualSpacing/>
        <w:rPr/>
      </w:pPr>
      <w:r>
        <w:rPr/>
        <w:t xml:space="preserve">Oferta powinna być sporządzona w języku polskim i złożona pod rygorem nieważności w postaci elektronicznej i podpisana kwalifikowanym podpisem elektronicznym. </w:t>
      </w:r>
    </w:p>
    <w:p>
      <w:pPr>
        <w:pStyle w:val="ListParagraph"/>
        <w:numPr>
          <w:ilvl w:val="1"/>
          <w:numId w:val="13"/>
        </w:numPr>
        <w:spacing w:lineRule="auto" w:line="259" w:before="0" w:after="120"/>
        <w:ind w:left="567" w:right="76" w:hanging="573"/>
        <w:contextualSpacing/>
        <w:rPr/>
      </w:pPr>
      <w:r>
        <w:rPr/>
        <w:t>Dokumenty wchodzące w skład oferty mogą być przedstawiane w formie oryginałów podpisanych kwalifikowanym podpisem elektronicznym lub poświadczonych za zgodność z oryginałem kopii – zgodnie z punktem 6.8 SIWZ. Poświadczenia za zgodność z oryginałem dokonuje odpowiednio wykonawca, podmiot, na którego zdolnościach lub sytuacji polega wykonawca, wykonawcy wspólnie ubiegający się o udzielenie zamówienia publicznego albo podwykonawca, w zakresie dokumentów lub oświadczeń, które każdego z nich dotyczą</w:t>
      </w:r>
    </w:p>
    <w:p>
      <w:pPr>
        <w:pStyle w:val="ListParagraph"/>
        <w:numPr>
          <w:ilvl w:val="1"/>
          <w:numId w:val="13"/>
        </w:numPr>
        <w:spacing w:lineRule="auto" w:line="259" w:before="0" w:after="120"/>
        <w:ind w:left="567" w:right="76" w:hanging="573"/>
        <w:contextualSpacing/>
        <w:rPr/>
      </w:pPr>
      <w:r>
        <w:rPr/>
        <w:t>Treść oferty musi odpowiadać treści SIWZ.</w:t>
      </w:r>
    </w:p>
    <w:p>
      <w:pPr>
        <w:pStyle w:val="ListParagraph"/>
        <w:numPr>
          <w:ilvl w:val="1"/>
          <w:numId w:val="13"/>
        </w:numPr>
        <w:spacing w:lineRule="auto" w:line="259" w:before="0" w:after="120"/>
        <w:ind w:left="567" w:right="76" w:hanging="573"/>
        <w:contextualSpacing/>
        <w:rPr/>
      </w:pPr>
      <w:r>
        <w:rPr/>
        <w:t>Wszystkie koszty związane ze sporządzeniem i złożeniem oferty ponosi Wykonawca.</w:t>
      </w:r>
    </w:p>
    <w:p>
      <w:pPr>
        <w:pStyle w:val="ListParagraph"/>
        <w:numPr>
          <w:ilvl w:val="1"/>
          <w:numId w:val="13"/>
        </w:numPr>
        <w:spacing w:lineRule="auto" w:line="259" w:before="0" w:after="120"/>
        <w:ind w:left="567" w:right="76" w:hanging="573"/>
        <w:contextualSpacing/>
        <w:rPr/>
      </w:pPr>
      <w:r>
        <w:rPr/>
        <w:t>Każdy Wykonawca może złożyć jedną ofertę.</w:t>
      </w:r>
    </w:p>
    <w:p>
      <w:pPr>
        <w:pStyle w:val="ListParagraph"/>
        <w:numPr>
          <w:ilvl w:val="1"/>
          <w:numId w:val="13"/>
        </w:numPr>
        <w:spacing w:lineRule="auto" w:line="259" w:before="0" w:after="120"/>
        <w:ind w:left="567" w:right="76" w:hanging="573"/>
        <w:contextualSpacing/>
        <w:rPr/>
      </w:pPr>
      <w:r>
        <w:rPr/>
        <w:t xml:space="preserve"> </w:t>
      </w:r>
      <w:r>
        <w:rPr/>
        <w:t>Ofertę</w:t>
        <w:tab/>
        <w:t xml:space="preserve">należy złożyć za pośrednictwem Platformy dostępnej pod adresem </w:t>
      </w:r>
      <w:hyperlink r:id="rId16">
        <w:r>
          <w:rPr>
            <w:rStyle w:val="Czeinternetowe"/>
          </w:rPr>
          <w:t>https://spzoz-zielonka.ezamawiajacy.pl</w:t>
        </w:r>
      </w:hyperlink>
      <w:r>
        <w:rPr/>
        <w:t xml:space="preserve"> Sposób złożenia oferty, w tym zaszyfrowania oferty został opisany w instrukcji udostępnionej na stronie: </w:t>
      </w:r>
      <w:hyperlink r:id="rId17">
        <w:r>
          <w:rPr>
            <w:rStyle w:val="Czeinternetowe"/>
          </w:rPr>
          <w:t>https://spzoz-zielonka.ezamawiajacy.pl</w:t>
        </w:r>
      </w:hyperlink>
      <w:r>
        <w:rPr/>
        <w:t xml:space="preserve"> w zakładce „Regulacje i procedury procesu zakupowego”.</w:t>
      </w:r>
    </w:p>
    <w:p>
      <w:pPr>
        <w:pStyle w:val="ListParagraph"/>
        <w:numPr>
          <w:ilvl w:val="1"/>
          <w:numId w:val="13"/>
        </w:numPr>
        <w:spacing w:lineRule="auto" w:line="259" w:before="0" w:after="120"/>
        <w:ind w:left="567" w:right="76" w:hanging="573"/>
        <w:contextualSpacing/>
        <w:rPr/>
      </w:pPr>
      <w:r>
        <w:rPr/>
        <w:t>Oferta wraz z załącznikami w oryginale, w postaci elektronicznej powinna być podpisana przez osobę upoważnioną do reprezentowania Wykonawcy. Poprzez podpisanie oferty należy rozumieć złożenie kwalifikowanego podpisu elektronicznego przez osobę uprawnioną, zgodnie z formą reprezentacji Wykonawcy określoną w rejestrze sądowym lub innym dokumencie, właściwym dla danej formy organizacyjnej Wykonawcy, albo przez osobę upoważnioną (na podstawie pełnomocnictwa - vide pkt 10.8) przez osoby uprawnione do reprezentowania Wykonawcy.</w:t>
      </w:r>
    </w:p>
    <w:p>
      <w:pPr>
        <w:pStyle w:val="ListParagraph"/>
        <w:numPr>
          <w:ilvl w:val="1"/>
          <w:numId w:val="13"/>
        </w:numPr>
        <w:spacing w:lineRule="auto" w:line="259" w:before="0" w:after="120"/>
        <w:ind w:left="567" w:right="76" w:hanging="573"/>
        <w:contextualSpacing/>
        <w:rPr/>
      </w:pPr>
      <w:r>
        <w:rPr/>
        <w:t>Pełnomocnictwo składa się w oryginale w postaci elektronicznego dokumentu, podpisanego przez Wykonawcę kwalifikowanym podpisem elektronicznym lub elektronicznej kopii dokumentu poświadczonej „za zgodność z oryginałem”, opatrzonej kwalifikowanym podpisem elektronicznym notariusza:</w:t>
      </w:r>
    </w:p>
    <w:p>
      <w:pPr>
        <w:pStyle w:val="ListParagraph"/>
        <w:numPr>
          <w:ilvl w:val="0"/>
          <w:numId w:val="17"/>
        </w:numPr>
        <w:spacing w:lineRule="auto" w:line="259" w:before="0" w:after="120"/>
        <w:ind w:left="720" w:right="76" w:hanging="360"/>
        <w:contextualSpacing/>
        <w:rPr>
          <w:lang w:bidi="pl-PL"/>
        </w:rPr>
      </w:pPr>
      <w:r>
        <w:rPr/>
        <w:t xml:space="preserve">dla osoby/osób podpisującej/cyeh ofertę do podejmowania zobowiązań w imieniu wykonawcy składającego ofertę, gdy prawo do podpisania oferty nie wynika z odpisu z właściwego rejestru, który </w:t>
      </w:r>
      <w:r>
        <w:rPr>
          <w:lang w:bidi="pl-PL"/>
        </w:rPr>
        <w:t>zamawiający może uzyskać za pomocą bezpłatnych i ogólnodostępnych baz danych, w szczególności rejestrów publicznych w rozumieniu ustawy z dnia 17 lutego 2005 roku o informatyzacji działalności podmiotów realizujących zadania publiczne.</w:t>
      </w:r>
    </w:p>
    <w:p>
      <w:pPr>
        <w:pStyle w:val="ListParagraph"/>
        <w:numPr>
          <w:ilvl w:val="0"/>
          <w:numId w:val="17"/>
        </w:numPr>
        <w:spacing w:lineRule="auto" w:line="259" w:before="0" w:after="120"/>
        <w:ind w:left="720" w:right="76" w:hanging="360"/>
        <w:contextualSpacing/>
        <w:rPr/>
      </w:pPr>
      <w:r>
        <w:rPr>
          <w:lang w:bidi="pl-PL"/>
        </w:rPr>
        <w:t>dla ustanowionego pełnomocnika, do reprezentowania w postępowaniu albo do reprezentowania w postępowaniu i zawarcia umowy - dotyczy wykonawców wspólnie ubiegających się o udzielenie zamówienia.</w:t>
      </w:r>
    </w:p>
    <w:p>
      <w:pPr>
        <w:pStyle w:val="ListParagraph"/>
        <w:numPr>
          <w:ilvl w:val="1"/>
          <w:numId w:val="13"/>
        </w:numPr>
        <w:spacing w:lineRule="auto" w:line="259" w:before="0" w:after="120"/>
        <w:ind w:left="709" w:right="76" w:hanging="715"/>
        <w:contextualSpacing/>
        <w:rPr/>
      </w:pPr>
      <w:r>
        <w:rPr/>
        <w:t xml:space="preserve"> </w:t>
      </w:r>
      <w:r>
        <w:rPr/>
        <w:t>Oferta i oświadczenie JEDZ mogą być wycofane i złożone przez wykonawcę ponownie przed upływem wyznaczonego terminu składania ofert.</w:t>
      </w:r>
    </w:p>
    <w:p>
      <w:pPr>
        <w:pStyle w:val="ListParagraph"/>
        <w:numPr>
          <w:ilvl w:val="1"/>
          <w:numId w:val="13"/>
        </w:numPr>
        <w:spacing w:lineRule="auto" w:line="259" w:before="0" w:after="120"/>
        <w:ind w:left="709" w:right="76" w:hanging="715"/>
        <w:contextualSpacing/>
        <w:rPr/>
      </w:pPr>
      <w:r>
        <w:rPr/>
        <w:t>Po upływie terminu składania ofert nie będzie możliwe wycofanie lub zmiana złożonej oferty. Do upływu terminu otwarcia ofert Zamawiający nie ma dostępu do złożonych dokumentów.</w:t>
      </w:r>
    </w:p>
    <w:p>
      <w:pPr>
        <w:pStyle w:val="ListParagraph"/>
        <w:numPr>
          <w:ilvl w:val="1"/>
          <w:numId w:val="13"/>
        </w:numPr>
        <w:spacing w:lineRule="auto" w:line="259" w:before="0" w:after="120"/>
        <w:ind w:left="709" w:right="76" w:hanging="715"/>
        <w:contextualSpacing/>
        <w:rPr/>
      </w:pPr>
      <w:r>
        <w:rPr/>
        <w:t>Wykonawca winien opisać każdy załącznik nazwą umożliwiającą jego identyfikację.</w:t>
      </w:r>
    </w:p>
    <w:p>
      <w:pPr>
        <w:pStyle w:val="ListParagraph"/>
        <w:numPr>
          <w:ilvl w:val="1"/>
          <w:numId w:val="13"/>
        </w:numPr>
        <w:spacing w:lineRule="auto" w:line="259" w:before="0" w:after="120"/>
        <w:ind w:left="709" w:right="76" w:hanging="715"/>
        <w:contextualSpacing/>
        <w:rPr/>
      </w:pPr>
      <w:r>
        <w:rPr/>
        <w:t>O terminie złożenia Oferty decyduje czas pełnego przeprocesowania transakcji na Platformie</w:t>
      </w:r>
    </w:p>
    <w:p>
      <w:pPr>
        <w:pStyle w:val="ListParagraph"/>
        <w:numPr>
          <w:ilvl w:val="1"/>
          <w:numId w:val="13"/>
        </w:numPr>
        <w:spacing w:lineRule="auto" w:line="259" w:before="0" w:after="120"/>
        <w:ind w:left="709" w:right="76" w:hanging="715"/>
        <w:contextualSpacing/>
        <w:rPr/>
      </w:pPr>
      <w:r>
        <w:rPr>
          <w:b/>
          <w:bCs/>
        </w:rPr>
        <w:t>Informacje stanowiące tajemnicę przedsiębiorstwa w rozumieniu przepisów o zwalczaniu nieuczciwej konkurencji</w:t>
      </w:r>
      <w:r>
        <w:rPr/>
        <w:t xml:space="preserve">. </w:t>
      </w:r>
    </w:p>
    <w:p>
      <w:pPr>
        <w:pStyle w:val="ListParagraph"/>
        <w:numPr>
          <w:ilvl w:val="2"/>
          <w:numId w:val="13"/>
        </w:numPr>
        <w:spacing w:lineRule="auto" w:line="259" w:before="0" w:after="120"/>
        <w:ind w:left="851" w:right="76" w:hanging="840"/>
        <w:contextualSpacing/>
        <w:rPr/>
      </w:pPr>
      <w:r>
        <w:rPr/>
        <w:t>Zastrzeżenie dotyczące informacji stanowiących tajemnicę przedsiębiorstwa w rozumieniu przepisów art. 11 ust. 2 ustawy z dnia 16 kwietnia 1993 roku o zwalczaniu nieuczciwej konkurencji (t.j. Dz. U. z 2019 r. poz. 1010 z późn. zm.) Wykonawca zobowiązany jest złożyć w ofercie, nie później niż w terminie składania ofert, w sposób wyraźnie określający wolę ich utajnienia.</w:t>
      </w:r>
    </w:p>
    <w:p>
      <w:pPr>
        <w:pStyle w:val="ListParagraph"/>
        <w:numPr>
          <w:ilvl w:val="2"/>
          <w:numId w:val="13"/>
        </w:numPr>
        <w:spacing w:lineRule="auto" w:line="259" w:before="0" w:after="120"/>
        <w:ind w:left="851" w:right="76" w:hanging="840"/>
        <w:contextualSpacing/>
        <w:rPr/>
      </w:pPr>
      <w:r>
        <w:rPr/>
        <w:t>Wykonawca załączając dokument oznacza, czy jest on: „Tajny” - dokument stanowi „tajemnice przedsiębiorstwa” lub opcję „Jawny” - niestanowiący tajemnicy przedsiębiorstwa w rozumieniu przepisów ww. ustawy, przy czym dokumenty „stanowiące tajemnicę przedsiębiorstwa” powinny zostać załączone w osobnym pliku wraz z jednoczesnym zaznaczeniem polecenia „Tajne".</w:t>
      </w:r>
    </w:p>
    <w:p>
      <w:pPr>
        <w:pStyle w:val="ListParagraph"/>
        <w:numPr>
          <w:ilvl w:val="2"/>
          <w:numId w:val="13"/>
        </w:numPr>
        <w:spacing w:lineRule="auto" w:line="259" w:before="0" w:after="120"/>
        <w:ind w:left="851" w:right="76" w:hanging="840"/>
        <w:contextualSpacing/>
        <w:rPr/>
      </w:pPr>
      <w:r>
        <w:rPr/>
        <w:t>W przypadku gdy wykonawca nie wyodrębni i nie zabezpieczy w ten sposób poufności informacji, Zamawiający nie bierze odpowiedzialności za ewentualne ujawnienie ich treści razem z informacjami jawnymi. Zamawiający nie bierze odpowiedzialności za skutki nie zastrzeżenia przez Wykonawcę w ofercie informacji stanowiących tajemnicę przedsiębiorstwa. Stosownie do powyższego, jeśli Wykonawca nie dopełni ww. obowiązków wynikających z ustawy, Zamawiający będzie miał podstawę uznania, że zastrzeżenie tajemnicy przedsiębiorstwa jest bezskuteczne i w związku z tym potraktuje daną informację, jako niepodlegającą ochronie i niestanowiącą tajemnicy przedsiębiorstwa w rozumieniu ustawy z dnia 16 kwietnia 1993 r. o zwalczaniu nieuczciwej konkurencji (tekst jednolity: Dz. U. z 2019 r. poz. 1010 z późn. zm.).</w:t>
      </w:r>
    </w:p>
    <w:p>
      <w:pPr>
        <w:pStyle w:val="ListParagraph"/>
        <w:numPr>
          <w:ilvl w:val="2"/>
          <w:numId w:val="13"/>
        </w:numPr>
        <w:spacing w:lineRule="auto" w:line="259" w:before="0" w:after="120"/>
        <w:ind w:left="851" w:right="76" w:hanging="840"/>
        <w:contextualSpacing/>
        <w:rPr/>
      </w:pPr>
      <w:r>
        <w:rPr/>
        <w:t xml:space="preserve">Wykonawca nie może zastrzec informacji, o których mowa w art. 86 ust. 4 ustawy..  </w:t>
      </w:r>
    </w:p>
    <w:p>
      <w:pPr>
        <w:pStyle w:val="Normal"/>
        <w:spacing w:before="0" w:after="212"/>
        <w:ind w:left="7" w:right="76" w:hanging="10"/>
        <w:rPr/>
      </w:pPr>
      <w:r>
        <w:rPr/>
      </w:r>
    </w:p>
    <w:p>
      <w:pPr>
        <w:pStyle w:val="Nagwek1"/>
        <w:numPr>
          <w:ilvl w:val="0"/>
          <w:numId w:val="11"/>
        </w:numPr>
        <w:shd w:val="clear" w:fill="F7CAAC"/>
        <w:ind w:left="426" w:right="4000" w:hanging="426"/>
        <w:rPr/>
      </w:pPr>
      <w:bookmarkStart w:id="12" w:name="_Toc38874116"/>
      <w:r>
        <w:rPr/>
        <w:t>Wymagania dotyczące Podwykonawców</w:t>
      </w:r>
      <w:bookmarkEnd w:id="12"/>
      <w:r>
        <w:rPr/>
        <w:t xml:space="preserve"> </w:t>
      </w:r>
    </w:p>
    <w:p>
      <w:pPr>
        <w:pStyle w:val="ListParagraph"/>
        <w:numPr>
          <w:ilvl w:val="0"/>
          <w:numId w:val="13"/>
        </w:numPr>
        <w:spacing w:lineRule="auto" w:line="259" w:before="0" w:after="120"/>
        <w:ind w:left="360" w:right="76" w:hanging="360"/>
        <w:contextualSpacing/>
        <w:rPr>
          <w:vanish/>
        </w:rPr>
      </w:pPr>
      <w:r>
        <w:rPr>
          <w:vanish/>
        </w:rPr>
      </w:r>
    </w:p>
    <w:p>
      <w:pPr>
        <w:pStyle w:val="ListParagraph"/>
        <w:numPr>
          <w:ilvl w:val="1"/>
          <w:numId w:val="13"/>
        </w:numPr>
        <w:spacing w:lineRule="auto" w:line="259" w:before="0" w:after="120"/>
        <w:ind w:left="567" w:right="74" w:hanging="573"/>
        <w:contextualSpacing/>
        <w:rPr/>
      </w:pPr>
      <w:r>
        <w:rPr/>
        <w:t>Wykonawca może powierzyć wykonanie części zamówienia Podwykonawcy.</w:t>
      </w:r>
    </w:p>
    <w:p>
      <w:pPr>
        <w:pStyle w:val="ListParagraph"/>
        <w:numPr>
          <w:ilvl w:val="1"/>
          <w:numId w:val="13"/>
        </w:numPr>
        <w:spacing w:lineRule="auto" w:line="259" w:before="0" w:after="120"/>
        <w:ind w:left="567" w:right="74" w:hanging="573"/>
        <w:contextualSpacing/>
        <w:rPr/>
      </w:pPr>
      <w:r>
        <w:rPr/>
        <w:t xml:space="preserve">W przypadku zamiaru powierzenia podwykonawcy wykonania części prac, wykonawca jest zobowiązany poinformować o tym zamawiającego poprzez dokonanie stosownego zapisu w druku formularza ofertowego, z podaniem części zamówienia, których wykonanie zamierza powierzyć podwykonawcom wraz z określeniem przez wykonawcę firm podwykonawców. </w:t>
      </w:r>
    </w:p>
    <w:p>
      <w:pPr>
        <w:pStyle w:val="ListParagraph"/>
        <w:numPr>
          <w:ilvl w:val="1"/>
          <w:numId w:val="13"/>
        </w:numPr>
        <w:spacing w:lineRule="auto" w:line="259" w:before="0" w:after="120"/>
        <w:ind w:left="567" w:right="74" w:hanging="573"/>
        <w:contextualSpacing/>
        <w:rPr/>
      </w:pPr>
      <w:r>
        <w:rPr/>
        <w:t xml:space="preserve">W przypadku usług, które będą wykonywane w siedzibie Zamawiającego oraz w pozostałych miejscach realizacji Projektu (lokalizacje jednostek podległych) w ramach realizacji zamówienia, zamawiający żąda, aby przed przystąpieniem do wykonania zamówienia Wykonawca, o ile są już znane, podał nazwy albo imiona i nazwiska oraz dane kontaktowe podwykonawców i osób do kontaktu z nimi, zaangażowanych w takie usługi. Wykonawca zawiadamia zamawiającego o wszelkich zmianach danych, o których mowa w zdaniu powyżej, w trakcie realizacji zamówienia, a także przekazuje informacje na temat nowych podwykonawców, którym w późniejszym okresie zamierza powierzyć realizację usług. </w:t>
      </w:r>
    </w:p>
    <w:p>
      <w:pPr>
        <w:pStyle w:val="ListParagraph"/>
        <w:numPr>
          <w:ilvl w:val="1"/>
          <w:numId w:val="13"/>
        </w:numPr>
        <w:spacing w:lineRule="auto" w:line="259" w:before="0" w:after="120"/>
        <w:ind w:left="567" w:right="74" w:hanging="573"/>
        <w:contextualSpacing/>
        <w:rPr/>
      </w:pPr>
      <w:r>
        <w:rPr/>
        <w:t xml:space="preserve">Jeżeli zmiana albo rezygnacja z podwykonawcy dotyczy podmiotu, na którego zasoby wykonawca powoływał się, na zasadach określonych w art. 22a ust. 1 ustawy, w celu wykazania spełniania warunków udziału w postępowaniu, wykonawca jest obowiązany wykazać zamawiającemu, że proponowany inny podwykonawca lub wykonawca samodzielnie spełnia je w stopniu nie mniejszym niż podwykonawca, na którego zasoby wykonawca powoływał się w trakcie postępowania o udzielenie zamówienia. </w:t>
      </w:r>
    </w:p>
    <w:p>
      <w:pPr>
        <w:pStyle w:val="ListParagraph"/>
        <w:numPr>
          <w:ilvl w:val="1"/>
          <w:numId w:val="13"/>
        </w:numPr>
        <w:spacing w:lineRule="auto" w:line="259" w:before="0" w:after="120"/>
        <w:ind w:left="567" w:right="74" w:hanging="573"/>
        <w:contextualSpacing/>
        <w:rPr/>
      </w:pPr>
      <w:r>
        <w:rPr/>
        <w:t xml:space="preserve">Wykonawca będzie ponosił pełną odpowiedzialność wobec Zamawiającego i osób trzecich za usługi wykonane przez podwykonawców </w:t>
      </w:r>
    </w:p>
    <w:p>
      <w:pPr>
        <w:pStyle w:val="ListParagraph"/>
        <w:numPr>
          <w:ilvl w:val="1"/>
          <w:numId w:val="13"/>
        </w:numPr>
        <w:spacing w:lineRule="auto" w:line="259" w:before="0" w:after="120"/>
        <w:ind w:left="567" w:right="74" w:hanging="573"/>
        <w:contextualSpacing/>
        <w:rPr/>
      </w:pPr>
      <w:r>
        <w:rPr/>
        <w:t xml:space="preserve">Zamawiający nie zastrzega obowiązku osobistego wykonania przez Wykonawcę kluczowych części zamówienia. </w:t>
      </w:r>
    </w:p>
    <w:p>
      <w:pPr>
        <w:pStyle w:val="ListParagraph"/>
        <w:numPr>
          <w:ilvl w:val="1"/>
          <w:numId w:val="13"/>
        </w:numPr>
        <w:spacing w:lineRule="auto" w:line="259" w:before="0" w:after="120"/>
        <w:ind w:left="567" w:right="74" w:hanging="573"/>
        <w:contextualSpacing/>
        <w:rPr/>
      </w:pPr>
      <w:r>
        <w:rPr/>
        <w:t xml:space="preserve">W sprawach nieuregulowanych w postanowieniach punktu 11 SIWZ, szczegółowe wymagania dotyczące podwykonawców reguluje załączony do SIWZ wzór umowy. </w:t>
      </w:r>
    </w:p>
    <w:p>
      <w:pPr>
        <w:pStyle w:val="Normal"/>
        <w:ind w:left="563" w:right="76" w:hanging="566"/>
        <w:rPr/>
      </w:pPr>
      <w:r>
        <w:rPr/>
      </w:r>
    </w:p>
    <w:p>
      <w:pPr>
        <w:pStyle w:val="Nagwek1"/>
        <w:numPr>
          <w:ilvl w:val="0"/>
          <w:numId w:val="11"/>
        </w:numPr>
        <w:shd w:val="clear" w:fill="F7CAAC"/>
        <w:ind w:left="426" w:right="4000" w:hanging="426"/>
        <w:rPr/>
      </w:pPr>
      <w:bookmarkStart w:id="13" w:name="_Toc38874117"/>
      <w:r>
        <w:rPr/>
        <w:t>Miejsce oraz termin składania i otwarcia ofert</w:t>
      </w:r>
      <w:bookmarkEnd w:id="13"/>
    </w:p>
    <w:p>
      <w:pPr>
        <w:pStyle w:val="ListParagraph"/>
        <w:numPr>
          <w:ilvl w:val="0"/>
          <w:numId w:val="13"/>
        </w:numPr>
        <w:spacing w:lineRule="auto" w:line="259" w:before="0" w:after="120"/>
        <w:ind w:left="360" w:right="76" w:hanging="360"/>
        <w:contextualSpacing/>
        <w:rPr>
          <w:vanish/>
        </w:rPr>
      </w:pPr>
      <w:r>
        <w:rPr>
          <w:vanish/>
        </w:rPr>
      </w:r>
    </w:p>
    <w:p>
      <w:pPr>
        <w:pStyle w:val="ListParagraph"/>
        <w:numPr>
          <w:ilvl w:val="1"/>
          <w:numId w:val="13"/>
        </w:numPr>
        <w:spacing w:lineRule="auto" w:line="259" w:before="0" w:after="120"/>
        <w:ind w:left="567" w:right="74" w:hanging="573"/>
        <w:contextualSpacing/>
        <w:rPr/>
      </w:pPr>
      <w:r>
        <w:rPr/>
        <w:t xml:space="preserve">Ofertę należy złożyć na Platformie zakupowej pod adresem: </w:t>
      </w:r>
      <w:hyperlink r:id="rId18">
        <w:r>
          <w:rPr>
            <w:rStyle w:val="Czeinternetowe"/>
          </w:rPr>
          <w:t>https://spzoz-zielonka.ezamawiajacy.pl</w:t>
        </w:r>
      </w:hyperlink>
      <w:r>
        <w:rPr/>
        <w:t xml:space="preserve"> w zakładce „OFERTY".</w:t>
      </w:r>
    </w:p>
    <w:p>
      <w:pPr>
        <w:pStyle w:val="ListParagraph"/>
        <w:numPr>
          <w:ilvl w:val="1"/>
          <w:numId w:val="13"/>
        </w:numPr>
        <w:spacing w:lineRule="auto" w:line="259" w:before="0" w:after="120"/>
        <w:ind w:left="567" w:right="74" w:hanging="573"/>
        <w:contextualSpacing/>
        <w:rPr>
          <w:b/>
          <w:b/>
          <w:bCs/>
        </w:rPr>
      </w:pPr>
      <w:bookmarkStart w:id="14" w:name="bookmark27"/>
      <w:r>
        <w:rPr>
          <w:b/>
          <w:bCs/>
        </w:rPr>
        <w:t xml:space="preserve">Termin złożenia oferty: do dnia 07.09.2020 r. do godziny </w:t>
      </w:r>
      <w:bookmarkEnd w:id="14"/>
      <w:r>
        <w:rPr>
          <w:b/>
          <w:bCs/>
        </w:rPr>
        <w:t>12:00.</w:t>
      </w:r>
    </w:p>
    <w:p>
      <w:pPr>
        <w:pStyle w:val="ListParagraph"/>
        <w:numPr>
          <w:ilvl w:val="1"/>
          <w:numId w:val="13"/>
        </w:numPr>
        <w:spacing w:lineRule="auto" w:line="259" w:before="0" w:after="120"/>
        <w:ind w:left="567" w:right="74" w:hanging="573"/>
        <w:contextualSpacing/>
        <w:rPr/>
      </w:pPr>
      <w:r>
        <w:rPr/>
        <w:t>Decyduje data oraz dokładny czas (hh:mm:ss) generowany wg czasu lokalnego serwera synchronizowanego odpowiednim źródłem czasu - zegarem Głównego Urzędu Miar.</w:t>
      </w:r>
    </w:p>
    <w:p>
      <w:pPr>
        <w:pStyle w:val="ListParagraph"/>
        <w:numPr>
          <w:ilvl w:val="1"/>
          <w:numId w:val="13"/>
        </w:numPr>
        <w:spacing w:lineRule="auto" w:line="259" w:before="0" w:after="120"/>
        <w:ind w:left="567" w:right="74" w:hanging="573"/>
        <w:contextualSpacing/>
        <w:rPr/>
      </w:pPr>
      <w:r>
        <w:rPr>
          <w:b/>
          <w:bCs/>
        </w:rPr>
        <w:t xml:space="preserve">Otwarcie ofert: </w:t>
      </w:r>
      <w:r>
        <w:rPr/>
        <w:t xml:space="preserve">nastąpi na platformie zakupowej: </w:t>
      </w:r>
      <w:hyperlink r:id="rId19">
        <w:r>
          <w:rPr>
            <w:rStyle w:val="Czeinternetowe"/>
          </w:rPr>
          <w:t>https://spzoz-zielonka.ezamawiajacy.pl</w:t>
        </w:r>
      </w:hyperlink>
      <w:r>
        <w:rPr/>
        <w:t xml:space="preserve"> i dokonywane będzie poprzez odszyfrowanie i upublicznienie wczytanych na Platformie ofert. Otwarcie ofert jest jawne.</w:t>
      </w:r>
    </w:p>
    <w:p>
      <w:pPr>
        <w:pStyle w:val="ListParagraph"/>
        <w:numPr>
          <w:ilvl w:val="1"/>
          <w:numId w:val="13"/>
        </w:numPr>
        <w:spacing w:lineRule="auto" w:line="259" w:before="0" w:after="120"/>
        <w:ind w:left="567" w:right="74" w:hanging="573"/>
        <w:contextualSpacing/>
        <w:rPr/>
      </w:pPr>
      <w:r>
        <w:rPr/>
        <w:t xml:space="preserve">Wykonawcy mogą uczestniczyć w czynności otwarcia ofert w siedzibie Zamawiającego, SPZOZ-MOZ w Zielonce ul. Mickiewicza 18, 05-220 Zielonka w Sekretariacie, </w:t>
      </w:r>
      <w:r>
        <w:rPr>
          <w:b/>
          <w:bCs/>
        </w:rPr>
        <w:t>w dniu 07.09</w:t>
      </w:r>
      <w:bookmarkStart w:id="15" w:name="_GoBack"/>
      <w:bookmarkEnd w:id="15"/>
      <w:r>
        <w:rPr>
          <w:b/>
          <w:bCs/>
        </w:rPr>
        <w:t xml:space="preserve">.2020r. o godzinie 12:15 </w:t>
      </w:r>
      <w:r>
        <w:rPr/>
        <w:t>Data oraz dokładny czas (hh:mm:ss) generowany wg czasu lokalnego serwera synchronizowanego odpowiednim źródłem czasu - zegarem Głównego Urzędu Miar.</w:t>
      </w:r>
    </w:p>
    <w:p>
      <w:pPr>
        <w:pStyle w:val="ListParagraph"/>
        <w:numPr>
          <w:ilvl w:val="1"/>
          <w:numId w:val="13"/>
        </w:numPr>
        <w:spacing w:lineRule="auto" w:line="259" w:before="0" w:after="120"/>
        <w:ind w:left="567" w:right="74" w:hanging="573"/>
        <w:contextualSpacing/>
        <w:rPr/>
      </w:pPr>
      <w:r>
        <w:rPr/>
        <w:t xml:space="preserve">Informację z otwarcia ofert Zamawiający udostępni na platformie zakupowej: </w:t>
      </w:r>
      <w:hyperlink r:id="rId20">
        <w:r>
          <w:rPr>
            <w:rStyle w:val="Czeinternetowe"/>
          </w:rPr>
          <w:t>https://spzoz-zielonka.ezamawiajacy.pl</w:t>
        </w:r>
      </w:hyperlink>
      <w:r>
        <w:rPr/>
        <w:t xml:space="preserve"> (w zakładce „Dokumenty zamówienia” w folderze „Informacja z otwarcia ofert"). Informacja upubliczniona przez Zamawiającego po otwarciu ofert będzie zawierać:</w:t>
      </w:r>
    </w:p>
    <w:p>
      <w:pPr>
        <w:pStyle w:val="Normal"/>
        <w:numPr>
          <w:ilvl w:val="0"/>
          <w:numId w:val="8"/>
        </w:numPr>
        <w:spacing w:lineRule="auto" w:line="259" w:before="0" w:after="120"/>
        <w:ind w:left="998" w:right="74" w:hanging="278"/>
        <w:rPr/>
      </w:pPr>
      <w:r>
        <w:rPr/>
        <w:t xml:space="preserve">kwoty, jaką zamierza przeznaczyć na sfinansowanie zamówienia; </w:t>
      </w:r>
    </w:p>
    <w:p>
      <w:pPr>
        <w:pStyle w:val="Normal"/>
        <w:numPr>
          <w:ilvl w:val="0"/>
          <w:numId w:val="8"/>
        </w:numPr>
        <w:spacing w:lineRule="auto" w:line="259" w:before="0" w:after="120"/>
        <w:ind w:left="998" w:right="74" w:hanging="278"/>
        <w:rPr/>
      </w:pPr>
      <w:r>
        <w:rPr/>
        <w:t xml:space="preserve">firm oraz adresów wykonawców, którzy złożyli oferty w terminie; </w:t>
      </w:r>
    </w:p>
    <w:p>
      <w:pPr>
        <w:pStyle w:val="Normal"/>
        <w:numPr>
          <w:ilvl w:val="0"/>
          <w:numId w:val="8"/>
        </w:numPr>
        <w:spacing w:lineRule="auto" w:line="259" w:before="0" w:after="120"/>
        <w:ind w:left="998" w:right="74" w:hanging="278"/>
        <w:rPr/>
      </w:pPr>
      <w:r>
        <w:rPr/>
        <w:t>ceny, terminu wykonania zamówienia, okresu gwarancji i warunków płatności zawartych w ofertach.</w:t>
      </w:r>
    </w:p>
    <w:p>
      <w:pPr>
        <w:pStyle w:val="Normal"/>
        <w:spacing w:lineRule="auto" w:line="264" w:before="0" w:after="40"/>
        <w:ind w:left="998" w:right="76" w:hanging="0"/>
        <w:rPr/>
      </w:pPr>
      <w:r>
        <w:rPr/>
      </w:r>
    </w:p>
    <w:p>
      <w:pPr>
        <w:pStyle w:val="Nagwek1"/>
        <w:numPr>
          <w:ilvl w:val="0"/>
          <w:numId w:val="11"/>
        </w:numPr>
        <w:shd w:val="clear" w:fill="F7CAAC"/>
        <w:ind w:left="426" w:right="4000" w:hanging="426"/>
        <w:rPr/>
      </w:pPr>
      <w:bookmarkStart w:id="16" w:name="_Toc38874118"/>
      <w:r>
        <w:rPr/>
        <w:t>Opis sposobu obliczania ceny oferty</w:t>
      </w:r>
      <w:bookmarkEnd w:id="16"/>
    </w:p>
    <w:p>
      <w:pPr>
        <w:pStyle w:val="ListParagraph"/>
        <w:numPr>
          <w:ilvl w:val="0"/>
          <w:numId w:val="13"/>
        </w:numPr>
        <w:spacing w:lineRule="auto" w:line="259" w:before="0" w:after="120"/>
        <w:ind w:left="360" w:right="74" w:hanging="360"/>
        <w:contextualSpacing/>
        <w:rPr>
          <w:vanish/>
        </w:rPr>
      </w:pPr>
      <w:r>
        <w:rPr>
          <w:vanish/>
        </w:rPr>
      </w:r>
    </w:p>
    <w:p>
      <w:pPr>
        <w:pStyle w:val="ListParagraph"/>
        <w:numPr>
          <w:ilvl w:val="1"/>
          <w:numId w:val="13"/>
        </w:numPr>
        <w:spacing w:lineRule="auto" w:line="259" w:before="0" w:after="120"/>
        <w:ind w:left="567" w:right="74" w:hanging="573"/>
        <w:contextualSpacing/>
        <w:rPr/>
      </w:pPr>
      <w:r>
        <w:rPr/>
        <w:t xml:space="preserve">Cena oferty musi zawierać wszystkie koszty związane z realizacją zamówienia wynikające  z opisu przedmiotu zamówienia i wszelkich innych czynności koniecznych do wykonania zamówienia. </w:t>
      </w:r>
    </w:p>
    <w:p>
      <w:pPr>
        <w:pStyle w:val="ListParagraph"/>
        <w:numPr>
          <w:ilvl w:val="1"/>
          <w:numId w:val="13"/>
        </w:numPr>
        <w:spacing w:lineRule="auto" w:line="259" w:before="0" w:after="120"/>
        <w:ind w:left="567" w:right="74" w:hanging="573"/>
        <w:contextualSpacing/>
        <w:rPr/>
      </w:pPr>
      <w:r>
        <w:rPr/>
        <w:t xml:space="preserve">Cena oferty musi być wyrażona w złotych. </w:t>
      </w:r>
    </w:p>
    <w:p>
      <w:pPr>
        <w:pStyle w:val="ListParagraph"/>
        <w:numPr>
          <w:ilvl w:val="1"/>
          <w:numId w:val="13"/>
        </w:numPr>
        <w:spacing w:lineRule="auto" w:line="259" w:before="0" w:after="120"/>
        <w:ind w:left="567" w:right="74" w:hanging="573"/>
        <w:contextualSpacing/>
        <w:rPr/>
      </w:pPr>
      <w:r>
        <w:rPr/>
        <w:t xml:space="preserve">Cena oferty jest kwotą łączną brutto wymienioną w Formularzu Oferty. </w:t>
      </w:r>
    </w:p>
    <w:p>
      <w:pPr>
        <w:pStyle w:val="ListParagraph"/>
        <w:numPr>
          <w:ilvl w:val="1"/>
          <w:numId w:val="13"/>
        </w:numPr>
        <w:spacing w:lineRule="auto" w:line="259" w:before="0" w:after="120"/>
        <w:ind w:left="567" w:right="74" w:hanging="573"/>
        <w:contextualSpacing/>
        <w:rPr/>
      </w:pPr>
      <w:r>
        <w:rPr/>
        <w:t xml:space="preserve">Cenę oferty należy podać brutto (w ujęciu: cena netto plus kwota VAT równa się cena brutto)  </w:t>
      </w:r>
    </w:p>
    <w:p>
      <w:pPr>
        <w:pStyle w:val="ListParagraph"/>
        <w:numPr>
          <w:ilvl w:val="1"/>
          <w:numId w:val="13"/>
        </w:numPr>
        <w:spacing w:lineRule="auto" w:line="259" w:before="0" w:after="120"/>
        <w:ind w:left="567" w:right="74" w:hanging="573"/>
        <w:contextualSpacing/>
        <w:rPr/>
      </w:pPr>
      <w:r>
        <w:rPr/>
        <w:t xml:space="preserve">Podana cena jest obowiązującą w całym okresie związania ofertą.  </w:t>
      </w:r>
    </w:p>
    <w:p>
      <w:pPr>
        <w:pStyle w:val="ListParagraph"/>
        <w:numPr>
          <w:ilvl w:val="1"/>
          <w:numId w:val="13"/>
        </w:numPr>
        <w:spacing w:lineRule="auto" w:line="259" w:before="0" w:after="120"/>
        <w:ind w:left="567" w:right="74" w:hanging="573"/>
        <w:contextualSpacing/>
        <w:rPr/>
      </w:pPr>
      <w:r>
        <w:rPr/>
        <w:t xml:space="preserve">Cena podana w ofercie powinna być ceną kompletną, jednoznaczną i ostateczną. Zostanie wprowadzona do umowy jako obowiązująca strony przez cały okres realizacji zamówienia. Podana cena będzie ceną ryczałtową. </w:t>
      </w:r>
    </w:p>
    <w:p>
      <w:pPr>
        <w:pStyle w:val="ListParagraph"/>
        <w:numPr>
          <w:ilvl w:val="1"/>
          <w:numId w:val="13"/>
        </w:numPr>
        <w:spacing w:lineRule="auto" w:line="259" w:before="0" w:after="120"/>
        <w:ind w:left="567" w:right="74" w:hanging="573"/>
        <w:contextualSpacing/>
        <w:rPr/>
      </w:pPr>
      <w:r>
        <w:rPr/>
        <w:t xml:space="preserve">Cenę w formularzu ofertowym należy podać z dokładnością do dwóch miejsc po przecinku.  </w:t>
      </w:r>
    </w:p>
    <w:p>
      <w:pPr>
        <w:pStyle w:val="ListParagraph"/>
        <w:numPr>
          <w:ilvl w:val="1"/>
          <w:numId w:val="13"/>
        </w:numPr>
        <w:spacing w:lineRule="auto" w:line="259" w:before="0" w:after="120"/>
        <w:ind w:left="567" w:right="74" w:hanging="573"/>
        <w:contextualSpacing/>
        <w:rPr/>
      </w:pPr>
      <w:r>
        <w:rPr/>
        <w:t xml:space="preserve">Zamawiający w złożonym formularzu ofertowym zgodnie z normą prawną art. 87 ust. 2 pkt 1, 2 i 3 ustawy PZP, poprawiać będzie: </w:t>
      </w:r>
    </w:p>
    <w:p>
      <w:pPr>
        <w:pStyle w:val="Normal"/>
        <w:numPr>
          <w:ilvl w:val="0"/>
          <w:numId w:val="9"/>
        </w:numPr>
        <w:ind w:left="1006" w:right="76" w:hanging="286"/>
        <w:rPr/>
      </w:pPr>
      <w:r>
        <w:rPr/>
        <w:t xml:space="preserve">oczywiste omyłki pisarskie, </w:t>
      </w:r>
    </w:p>
    <w:p>
      <w:pPr>
        <w:pStyle w:val="Normal"/>
        <w:numPr>
          <w:ilvl w:val="0"/>
          <w:numId w:val="9"/>
        </w:numPr>
        <w:ind w:left="1006" w:right="76" w:hanging="286"/>
        <w:rPr/>
      </w:pPr>
      <w:r>
        <w:rPr/>
        <w:t xml:space="preserve">oczywiste omyłki rachunkowe, z uwzględnieniem konsekwencji rachunkowych, </w:t>
      </w:r>
    </w:p>
    <w:p>
      <w:pPr>
        <w:pStyle w:val="Normal"/>
        <w:numPr>
          <w:ilvl w:val="0"/>
          <w:numId w:val="9"/>
        </w:numPr>
        <w:spacing w:before="0" w:after="10"/>
        <w:ind w:left="1006" w:right="76" w:hanging="286"/>
        <w:rPr/>
      </w:pPr>
      <w:r>
        <w:rPr/>
        <w:t xml:space="preserve">inne omyłki polegające na niezgodności oferty z SIWZ, niepowodujące istotnych zmian w treści oferty. </w:t>
      </w:r>
    </w:p>
    <w:p>
      <w:pPr>
        <w:pStyle w:val="Normal"/>
        <w:spacing w:before="0" w:after="212"/>
        <w:ind w:left="7" w:right="76" w:hanging="10"/>
        <w:rPr/>
      </w:pPr>
      <w:r>
        <w:rPr/>
        <w:t xml:space="preserve"> </w:t>
      </w:r>
    </w:p>
    <w:p>
      <w:pPr>
        <w:pStyle w:val="Nagwek1"/>
        <w:numPr>
          <w:ilvl w:val="0"/>
          <w:numId w:val="11"/>
        </w:numPr>
        <w:shd w:val="clear" w:fill="F7CAAC"/>
        <w:ind w:left="426" w:right="4000" w:hanging="426"/>
        <w:rPr/>
      </w:pPr>
      <w:bookmarkStart w:id="17" w:name="_Toc38874119"/>
      <w:r>
        <w:rPr/>
        <w:t>Opis kryteriów, którymi Zamawiający będzie kierował się przy wyborze oferty, wraz z podaniem wag tych kryteriów i sposobu oceny ofert</w:t>
      </w:r>
      <w:bookmarkEnd w:id="17"/>
    </w:p>
    <w:p>
      <w:pPr>
        <w:pStyle w:val="ListParagraph"/>
        <w:numPr>
          <w:ilvl w:val="0"/>
          <w:numId w:val="13"/>
        </w:numPr>
        <w:spacing w:lineRule="auto" w:line="259" w:before="0" w:after="120"/>
        <w:ind w:left="360" w:right="74" w:hanging="360"/>
        <w:contextualSpacing/>
        <w:rPr>
          <w:vanish/>
        </w:rPr>
      </w:pPr>
      <w:r>
        <w:rPr>
          <w:vanish/>
        </w:rPr>
      </w:r>
    </w:p>
    <w:p>
      <w:pPr>
        <w:pStyle w:val="ListParagraph"/>
        <w:numPr>
          <w:ilvl w:val="1"/>
          <w:numId w:val="13"/>
        </w:numPr>
        <w:spacing w:lineRule="auto" w:line="259" w:before="0" w:after="120"/>
        <w:ind w:left="567" w:right="74" w:hanging="573"/>
        <w:contextualSpacing/>
        <w:rPr/>
      </w:pPr>
      <w:r>
        <w:rPr/>
        <w:t>Oferty zostaną ocenione przez Zamawiającego w oparciu o następujące kryteria i ich wagi.</w:t>
      </w:r>
    </w:p>
    <w:p>
      <w:pPr>
        <w:pStyle w:val="Normal"/>
        <w:spacing w:lineRule="auto" w:line="259" w:before="0" w:after="120"/>
        <w:ind w:left="730" w:right="76" w:hanging="10"/>
        <w:rPr>
          <w:b/>
          <w:b/>
        </w:rPr>
      </w:pPr>
      <w:r>
        <w:rPr/>
        <w:tab/>
      </w:r>
      <w:r>
        <w:rPr>
          <w:b/>
        </w:rPr>
        <w:t xml:space="preserve">Cena oferty brutto (C) – 60 % t.j. max 60 pkt </w:t>
      </w:r>
    </w:p>
    <w:p>
      <w:pPr>
        <w:pStyle w:val="Normal"/>
        <w:spacing w:lineRule="auto" w:line="259" w:before="0" w:after="120"/>
        <w:ind w:left="730" w:right="76" w:hanging="10"/>
        <w:rPr>
          <w:b/>
          <w:b/>
        </w:rPr>
      </w:pPr>
      <w:r>
        <w:rPr>
          <w:b/>
        </w:rPr>
        <w:t xml:space="preserve">Wydłużenie Gwarancji (WG) – 30 % t.j. max 30 pkt </w:t>
      </w:r>
    </w:p>
    <w:p>
      <w:pPr>
        <w:pStyle w:val="Normal"/>
        <w:spacing w:lineRule="auto" w:line="259" w:before="0" w:after="120"/>
        <w:ind w:left="730" w:right="76" w:hanging="10"/>
        <w:rPr>
          <w:b/>
          <w:b/>
        </w:rPr>
      </w:pPr>
      <w:r>
        <w:rPr>
          <w:b/>
        </w:rPr>
        <w:t>Termin wykonania naprawy (usunięcia awarii) (N) – 10% tj. max. 10 pkt.</w:t>
      </w:r>
    </w:p>
    <w:p>
      <w:pPr>
        <w:pStyle w:val="Normal"/>
        <w:spacing w:lineRule="auto" w:line="259" w:before="0" w:after="120"/>
        <w:ind w:left="730" w:right="76" w:hanging="10"/>
        <w:rPr/>
      </w:pPr>
      <w:r>
        <w:rPr/>
        <w:t xml:space="preserve">Każda z ofert otrzyma liczbę punktów jaka wynika ze wzoru: </w:t>
      </w:r>
    </w:p>
    <w:p>
      <w:pPr>
        <w:pStyle w:val="Normal"/>
        <w:spacing w:lineRule="auto" w:line="259" w:before="0" w:after="120"/>
        <w:ind w:left="730" w:right="76" w:hanging="10"/>
        <w:rPr/>
      </w:pPr>
      <w:r>
        <w:rPr/>
      </w:r>
    </w:p>
    <w:p>
      <w:pPr>
        <w:pStyle w:val="Normal"/>
        <w:spacing w:lineRule="auto" w:line="259" w:before="0" w:after="120"/>
        <w:ind w:left="730" w:right="76" w:hanging="10"/>
        <w:rPr>
          <w:b/>
          <w:b/>
        </w:rPr>
      </w:pPr>
      <w:r>
        <w:rPr>
          <w:b/>
        </w:rPr>
        <w:t>LP = C + WG + N</w:t>
      </w:r>
    </w:p>
    <w:p>
      <w:pPr>
        <w:pStyle w:val="Normal"/>
        <w:spacing w:lineRule="auto" w:line="259" w:before="0" w:after="120"/>
        <w:ind w:left="730" w:right="76" w:hanging="10"/>
        <w:rPr/>
      </w:pPr>
      <w:r>
        <w:rPr/>
        <w:t xml:space="preserve">,gdzie   </w:t>
      </w:r>
    </w:p>
    <w:p>
      <w:pPr>
        <w:pStyle w:val="Normal"/>
        <w:spacing w:lineRule="auto" w:line="259" w:before="0" w:after="120"/>
        <w:ind w:left="730" w:right="76" w:hanging="10"/>
        <w:rPr/>
      </w:pPr>
      <w:r>
        <w:rPr/>
        <w:t xml:space="preserve">LP – liczba punktów przyznana badanej ofercie </w:t>
      </w:r>
    </w:p>
    <w:p>
      <w:pPr>
        <w:pStyle w:val="Normal"/>
        <w:spacing w:lineRule="auto" w:line="259" w:before="0" w:after="120"/>
        <w:ind w:left="730" w:right="76" w:hanging="10"/>
        <w:rPr/>
      </w:pPr>
      <w:r>
        <w:rPr/>
        <w:t xml:space="preserve">C – liczba punktów przyznana w kryterium ceny  </w:t>
      </w:r>
    </w:p>
    <w:p>
      <w:pPr>
        <w:pStyle w:val="Normal"/>
        <w:spacing w:lineRule="auto" w:line="259" w:before="0" w:after="120"/>
        <w:ind w:left="730" w:right="76" w:hanging="10"/>
        <w:rPr/>
      </w:pPr>
      <w:r>
        <w:rPr/>
        <w:t xml:space="preserve">WG – liczba punktów przyznana w kryterium wydłużenie gwarancji  </w:t>
      </w:r>
    </w:p>
    <w:p>
      <w:pPr>
        <w:pStyle w:val="Normal"/>
        <w:spacing w:lineRule="auto" w:line="259" w:before="0" w:after="120"/>
        <w:ind w:left="730" w:right="76" w:hanging="10"/>
        <w:rPr/>
      </w:pPr>
      <w:r>
        <w:rPr/>
        <w:t>N – liczba punktów przyznana w kryterium termin wykonania naprawy.</w:t>
      </w:r>
    </w:p>
    <w:p>
      <w:pPr>
        <w:pStyle w:val="Normal"/>
        <w:spacing w:lineRule="auto" w:line="259" w:before="0" w:after="120"/>
        <w:ind w:left="730" w:right="76" w:hanging="10"/>
        <w:rPr/>
      </w:pPr>
      <w:r>
        <w:rPr/>
      </w:r>
    </w:p>
    <w:p>
      <w:pPr>
        <w:pStyle w:val="ListParagraph"/>
        <w:numPr>
          <w:ilvl w:val="1"/>
          <w:numId w:val="13"/>
        </w:numPr>
        <w:spacing w:lineRule="auto" w:line="259" w:before="0" w:after="120"/>
        <w:ind w:left="567" w:right="74" w:hanging="573"/>
        <w:contextualSpacing/>
        <w:rPr/>
      </w:pPr>
      <w:r>
        <w:rPr/>
        <w:t xml:space="preserve">Zasady oceny w ramach kryterium ceny zamówienia: </w:t>
      </w:r>
    </w:p>
    <w:p>
      <w:pPr>
        <w:pStyle w:val="Normal"/>
        <w:spacing w:lineRule="auto" w:line="259" w:before="0" w:after="120"/>
        <w:ind w:left="730" w:right="76" w:hanging="10"/>
        <w:rPr/>
      </w:pPr>
      <w:r>
        <w:rPr/>
        <w:t xml:space="preserve">W ramach kryterium „Cena” oferta otrzyma zaokrągloną do dwóch miejsc po przecinku liczbą punktów wynikającą z działania: </w:t>
      </w:r>
      <w:r>
        <w:rPr>
          <w:b/>
        </w:rPr>
        <w:t xml:space="preserve">C= Cmin/Cb x 60 </w:t>
      </w:r>
      <w:r>
        <w:rPr/>
        <w:t xml:space="preserve">gdzie, </w:t>
      </w:r>
      <w:r>
        <w:rPr>
          <w:b/>
        </w:rPr>
        <w:t xml:space="preserve"> </w:t>
      </w:r>
    </w:p>
    <w:p>
      <w:pPr>
        <w:pStyle w:val="Normal"/>
        <w:spacing w:lineRule="auto" w:line="259" w:before="0" w:after="120"/>
        <w:ind w:left="730" w:right="76" w:hanging="10"/>
        <w:rPr/>
      </w:pPr>
      <w:r>
        <w:rPr/>
        <w:t xml:space="preserve">C – liczba punktów w kryterium cena zamówienia </w:t>
      </w:r>
    </w:p>
    <w:p>
      <w:pPr>
        <w:pStyle w:val="Normal"/>
        <w:spacing w:lineRule="auto" w:line="259" w:before="0" w:after="120"/>
        <w:ind w:left="730" w:right="76" w:hanging="10"/>
        <w:rPr/>
      </w:pPr>
      <w:r>
        <w:rPr/>
        <w:t xml:space="preserve">Cmin - cena oferty z najniższą ceną zamówienia </w:t>
      </w:r>
    </w:p>
    <w:p>
      <w:pPr>
        <w:pStyle w:val="Normal"/>
        <w:spacing w:lineRule="auto" w:line="259" w:before="0" w:after="120"/>
        <w:ind w:left="730" w:right="76" w:hanging="10"/>
        <w:rPr/>
      </w:pPr>
      <w:r>
        <w:rPr/>
        <w:t>Cb – cena oferty badanej zamówienia.</w:t>
      </w:r>
    </w:p>
    <w:p>
      <w:pPr>
        <w:pStyle w:val="ListParagraph"/>
        <w:numPr>
          <w:ilvl w:val="1"/>
          <w:numId w:val="13"/>
        </w:numPr>
        <w:spacing w:lineRule="auto" w:line="259" w:before="0" w:after="120"/>
        <w:ind w:left="567" w:right="74" w:hanging="573"/>
        <w:contextualSpacing/>
        <w:rPr/>
      </w:pPr>
      <w:r>
        <w:rPr/>
        <w:t xml:space="preserve">Zasady oceny w ramach kryterium Wydłużenie Gwarancji zamówienia: </w:t>
      </w:r>
    </w:p>
    <w:p>
      <w:pPr>
        <w:pStyle w:val="Normal"/>
        <w:spacing w:lineRule="auto" w:line="259" w:before="0" w:after="120"/>
        <w:ind w:left="730" w:right="76" w:hanging="10"/>
        <w:rPr/>
      </w:pPr>
      <w:r>
        <w:rPr/>
        <w:t xml:space="preserve">W ramach kryterium „Wydłużenie Gwarancji” oferta otrzyma zaokrągloną do dwóch miejsc po przecinku liczbą punktów wynikającą z działania:  </w:t>
      </w:r>
    </w:p>
    <w:p>
      <w:pPr>
        <w:pStyle w:val="Normal"/>
        <w:spacing w:lineRule="auto" w:line="259" w:before="0" w:after="120"/>
        <w:ind w:left="730" w:right="76" w:hanging="10"/>
        <w:rPr/>
      </w:pPr>
      <w:r>
        <w:rPr>
          <w:b/>
        </w:rPr>
        <w:t xml:space="preserve">WG= WGb/WGmax x 30 </w:t>
      </w:r>
    </w:p>
    <w:p>
      <w:pPr>
        <w:pStyle w:val="Normal"/>
        <w:spacing w:lineRule="auto" w:line="259" w:before="0" w:after="120"/>
        <w:ind w:left="730" w:right="76" w:hanging="10"/>
        <w:rPr/>
      </w:pPr>
      <w:r>
        <w:rPr/>
        <w:t xml:space="preserve">gdzie, </w:t>
      </w:r>
    </w:p>
    <w:p>
      <w:pPr>
        <w:pStyle w:val="Normal"/>
        <w:spacing w:lineRule="auto" w:line="259" w:before="0" w:after="120"/>
        <w:ind w:left="730" w:right="76" w:hanging="10"/>
        <w:rPr/>
      </w:pPr>
      <w:r>
        <w:rPr/>
        <w:t xml:space="preserve">WG – liczba punktów w kryterium wydłużenie gwarancji zamówienia </w:t>
      </w:r>
    </w:p>
    <w:p>
      <w:pPr>
        <w:pStyle w:val="Normal"/>
        <w:spacing w:lineRule="auto" w:line="259" w:before="0" w:after="120"/>
        <w:ind w:left="730" w:right="76" w:hanging="10"/>
        <w:rPr/>
      </w:pPr>
      <w:r>
        <w:rPr/>
        <w:t xml:space="preserve">WGb - dodatkowy okres wydłużenia gwarancji zamówienia badanej oferty powyżej okresu wymaganego (minimalnego) </w:t>
      </w:r>
    </w:p>
    <w:p>
      <w:pPr>
        <w:pStyle w:val="Normal"/>
        <w:spacing w:lineRule="auto" w:line="259" w:before="0" w:after="120"/>
        <w:ind w:left="730" w:right="76" w:hanging="10"/>
        <w:rPr/>
      </w:pPr>
      <w:r>
        <w:rPr/>
        <w:t xml:space="preserve">WGmax - Najdłuższy dodatkowy okres wydłużenia gwarancji i asysty technicznej  zamówienia spośród wszystkich ofert niepodlegających odrzuceniu. </w:t>
      </w:r>
    </w:p>
    <w:p>
      <w:pPr>
        <w:pStyle w:val="Normal"/>
        <w:spacing w:lineRule="auto" w:line="259" w:before="0" w:after="120"/>
        <w:ind w:left="730" w:right="76" w:hanging="10"/>
        <w:rPr/>
      </w:pPr>
      <w:r>
        <w:rPr>
          <w:b/>
        </w:rPr>
        <w:t>Maksymalny akceptowalny</w:t>
      </w:r>
      <w:r>
        <w:rPr/>
        <w:t xml:space="preserve"> przez zamawiającego okres udzielonej gwarancji: 60 miesięcy od daty dokonania ostatecznego odbioru zamówienia. </w:t>
      </w:r>
    </w:p>
    <w:p>
      <w:pPr>
        <w:pStyle w:val="Normal"/>
        <w:spacing w:lineRule="auto" w:line="259" w:before="0" w:after="120"/>
        <w:ind w:left="730" w:right="76" w:hanging="10"/>
        <w:rPr/>
      </w:pPr>
      <w:r>
        <w:rPr>
          <w:b/>
        </w:rPr>
        <w:t>Minimalny akceptowalny</w:t>
      </w:r>
      <w:r>
        <w:rPr/>
        <w:t xml:space="preserve"> przez zamawiającego okres udzielonej gwarancji: 36 miesięcy od daty dokonania ostatecznego odbioru zamówienia. </w:t>
      </w:r>
    </w:p>
    <w:p>
      <w:pPr>
        <w:pStyle w:val="Normal"/>
        <w:spacing w:lineRule="auto" w:line="259" w:before="0" w:after="120"/>
        <w:ind w:left="730" w:right="76" w:hanging="10"/>
        <w:rPr/>
      </w:pPr>
      <w:r>
        <w:rPr/>
        <w:t xml:space="preserve">Zamawiający nie dopuszcza skracania w ofercie minimalnego okresu udzielonej gwarancji i poniżej 36 miesięcy. Tego rodzaju działanie wykonawcy skutkować będzie odrzuceniem jego oferty przez zamawiającego na podstawie art. 89 ust. 1 pkt 2 ustawy Prawo zamówień publicznych. </w:t>
      </w:r>
    </w:p>
    <w:p>
      <w:pPr>
        <w:pStyle w:val="Normal"/>
        <w:spacing w:lineRule="auto" w:line="259" w:before="0" w:after="120"/>
        <w:ind w:left="730" w:right="76" w:hanging="10"/>
        <w:rPr/>
      </w:pPr>
      <w:r>
        <w:rPr/>
        <w:t xml:space="preserve">Wydłużenie przez wykonawcę w ofercie maksymalnego okresu udzielonej gwarancji ponad 60 miesięcy skutkować będzie tym, iż do oceny w zakresie tego kryterium zamawiający weźmie pod uwagę wyłącznie okres 60 miesięcy.  </w:t>
      </w:r>
    </w:p>
    <w:p>
      <w:pPr>
        <w:pStyle w:val="Normal"/>
        <w:spacing w:lineRule="auto" w:line="259" w:before="0" w:after="120"/>
        <w:ind w:left="730" w:right="76" w:hanging="10"/>
        <w:rPr/>
      </w:pPr>
      <w:r>
        <w:rPr>
          <w:b/>
          <w:bCs/>
        </w:rPr>
        <w:t>W formularzu ofertowym stanowiącym Załącznik nr 2 do SIWZ, Wykonawca zobowiązany jest podać Termin Gwarancji.</w:t>
      </w:r>
    </w:p>
    <w:p>
      <w:pPr>
        <w:pStyle w:val="ListParagraph"/>
        <w:numPr>
          <w:ilvl w:val="1"/>
          <w:numId w:val="13"/>
        </w:numPr>
        <w:spacing w:lineRule="auto" w:line="259" w:before="0" w:after="120"/>
        <w:ind w:left="567" w:right="74" w:hanging="573"/>
        <w:contextualSpacing/>
        <w:rPr/>
      </w:pPr>
      <w:r>
        <w:rPr/>
        <w:t xml:space="preserve">Zasady oceny w ramach kryterium termin wykonania naprawy (usunięcia awarii): </w:t>
      </w:r>
    </w:p>
    <w:p>
      <w:pPr>
        <w:pStyle w:val="Normal"/>
        <w:spacing w:lineRule="auto" w:line="259" w:before="0" w:after="120"/>
        <w:ind w:left="730" w:right="76" w:hanging="10"/>
        <w:rPr/>
      </w:pPr>
      <w:r>
        <w:rPr/>
        <w:t>W ramach kryterium „Termin wykonania naprawy” oferta otrzyma zaokrągloną do dwóch miejsc po przecinku liczbą punktów</w:t>
      </w:r>
      <w:r>
        <w:rPr>
          <w:b/>
        </w:rPr>
        <w:t xml:space="preserve"> </w:t>
      </w:r>
      <w:r>
        <w:rPr/>
        <w:t xml:space="preserve">gdzie, </w:t>
      </w:r>
      <w:r>
        <w:rPr>
          <w:b/>
        </w:rPr>
        <w:t xml:space="preserve"> </w:t>
      </w:r>
    </w:p>
    <w:tbl>
      <w:tblPr>
        <w:tblW w:w="8363" w:type="dxa"/>
        <w:jc w:val="left"/>
        <w:tblInd w:w="704" w:type="dxa"/>
        <w:tblCellMar>
          <w:top w:w="0" w:type="dxa"/>
          <w:left w:w="108" w:type="dxa"/>
          <w:bottom w:w="0" w:type="dxa"/>
          <w:right w:w="108" w:type="dxa"/>
        </w:tblCellMar>
        <w:tblLook w:firstRow="1" w:noVBand="1" w:lastRow="0" w:firstColumn="1" w:lastColumn="0" w:noHBand="0" w:val="04a0"/>
      </w:tblPr>
      <w:tblGrid>
        <w:gridCol w:w="8363"/>
      </w:tblGrid>
      <w:tr>
        <w:trPr/>
        <w:tc>
          <w:tcPr>
            <w:tcW w:w="8363"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59" w:before="0" w:after="120"/>
              <w:ind w:left="0" w:right="76" w:hanging="0"/>
              <w:rPr/>
            </w:pPr>
            <w:r>
              <w:rPr/>
              <w:t>Ilość punktów (</w:t>
            </w:r>
            <w:r>
              <w:rPr>
                <w:b/>
                <w:bCs/>
              </w:rPr>
              <w:t>N</w:t>
            </w:r>
            <w:r>
              <w:rPr/>
              <w:t>) za to kryterium zostanie przyznana według następujących zasad:</w:t>
            </w:r>
          </w:p>
          <w:p>
            <w:pPr>
              <w:pStyle w:val="ListParagraph"/>
              <w:numPr>
                <w:ilvl w:val="0"/>
                <w:numId w:val="18"/>
              </w:numPr>
              <w:spacing w:lineRule="auto" w:line="259" w:before="0" w:after="120"/>
              <w:ind w:left="714" w:right="74" w:hanging="357"/>
              <w:contextualSpacing/>
              <w:rPr/>
            </w:pPr>
            <w:r>
              <w:rPr/>
              <w:t>0 pkt - termin wykonania naprawy – 6 dni roboczych</w:t>
            </w:r>
          </w:p>
          <w:p>
            <w:pPr>
              <w:pStyle w:val="ListParagraph"/>
              <w:numPr>
                <w:ilvl w:val="0"/>
                <w:numId w:val="18"/>
              </w:numPr>
              <w:spacing w:lineRule="auto" w:line="259" w:before="0" w:after="120"/>
              <w:ind w:left="714" w:right="74" w:hanging="357"/>
              <w:contextualSpacing/>
              <w:rPr/>
            </w:pPr>
            <w:r>
              <w:rPr/>
              <w:t>5 pkt - termin wykonania naprawy – 4 dni robocze</w:t>
            </w:r>
          </w:p>
          <w:p>
            <w:pPr>
              <w:pStyle w:val="ListParagraph"/>
              <w:numPr>
                <w:ilvl w:val="0"/>
                <w:numId w:val="18"/>
              </w:numPr>
              <w:spacing w:lineRule="auto" w:line="259" w:before="0" w:after="120"/>
              <w:ind w:left="714" w:right="74" w:hanging="357"/>
              <w:contextualSpacing/>
              <w:rPr/>
            </w:pPr>
            <w:r>
              <w:rPr/>
              <w:t>10 pkt - termin wykonania naprawy – 2 dni robocze.</w:t>
            </w:r>
          </w:p>
          <w:p>
            <w:pPr>
              <w:pStyle w:val="Normal"/>
              <w:spacing w:lineRule="auto" w:line="259" w:before="0" w:after="120"/>
              <w:ind w:left="0" w:right="76" w:hanging="0"/>
              <w:rPr/>
            </w:pPr>
            <w:r>
              <w:rPr>
                <w:b/>
                <w:bCs/>
              </w:rPr>
              <w:t>W formularzu ofertowym stanowiącym Załącznik nr 2 do SIWZ, Wykonawca zobowiązany jest podać deklarowany przez siebie termin wykonania naprawy (usunięcia awarii).</w:t>
            </w:r>
          </w:p>
        </w:tc>
      </w:tr>
    </w:tbl>
    <w:p>
      <w:pPr>
        <w:pStyle w:val="Normal"/>
        <w:spacing w:lineRule="auto" w:line="259" w:before="0" w:after="120"/>
        <w:ind w:left="730" w:right="76" w:hanging="10"/>
        <w:rPr/>
      </w:pPr>
      <w:r>
        <w:rPr/>
      </w:r>
    </w:p>
    <w:p>
      <w:pPr>
        <w:pStyle w:val="ListParagraph"/>
        <w:numPr>
          <w:ilvl w:val="1"/>
          <w:numId w:val="13"/>
        </w:numPr>
        <w:spacing w:lineRule="auto" w:line="259" w:before="0" w:after="120"/>
        <w:ind w:left="567" w:right="74" w:hanging="573"/>
        <w:contextualSpacing/>
        <w:rPr/>
      </w:pPr>
      <w:r>
        <w:rPr/>
        <w:t>Zamawiający udzieli zamówienia wykonawcy, którego oferta odpowiada wszystkim wymaganiom przedstawionym w ustawie Prawo zamówień publicznych oraz SIWZ i została oceniona jako najkorzystniejsza w oparciu o podane powyżej kryteria oceny ofert, w danej części zamówienia</w:t>
      </w:r>
    </w:p>
    <w:p>
      <w:pPr>
        <w:pStyle w:val="Normal"/>
        <w:spacing w:lineRule="auto" w:line="259" w:before="0" w:after="16"/>
        <w:ind w:left="720" w:right="76" w:hanging="0"/>
        <w:jc w:val="left"/>
        <w:rPr/>
      </w:pPr>
      <w:r>
        <w:rPr/>
        <w:t xml:space="preserve"> </w:t>
      </w:r>
    </w:p>
    <w:p>
      <w:pPr>
        <w:pStyle w:val="Nagwek1"/>
        <w:numPr>
          <w:ilvl w:val="0"/>
          <w:numId w:val="11"/>
        </w:numPr>
        <w:shd w:val="clear" w:fill="F7CAAC"/>
        <w:ind w:left="426" w:right="4000" w:hanging="426"/>
        <w:rPr/>
      </w:pPr>
      <w:bookmarkStart w:id="18" w:name="_Toc38874120"/>
      <w:r>
        <w:rPr/>
        <w:t>Informacje o formalnościach, jakie powinny zostać dopełnione po wyborze oferty w celu zawarcia umowy w sprawie zamówienia publicznego</w:t>
      </w:r>
      <w:bookmarkEnd w:id="18"/>
    </w:p>
    <w:p>
      <w:pPr>
        <w:pStyle w:val="ListParagraph"/>
        <w:numPr>
          <w:ilvl w:val="0"/>
          <w:numId w:val="13"/>
        </w:numPr>
        <w:spacing w:lineRule="auto" w:line="259" w:before="0" w:after="120"/>
        <w:ind w:left="360" w:right="74" w:hanging="360"/>
        <w:contextualSpacing/>
        <w:rPr>
          <w:vanish/>
        </w:rPr>
      </w:pPr>
      <w:r>
        <w:rPr>
          <w:vanish/>
        </w:rPr>
      </w:r>
    </w:p>
    <w:p>
      <w:pPr>
        <w:pStyle w:val="ListParagraph"/>
        <w:numPr>
          <w:ilvl w:val="1"/>
          <w:numId w:val="13"/>
        </w:numPr>
        <w:spacing w:lineRule="auto" w:line="259" w:before="0" w:after="120"/>
        <w:ind w:left="567" w:right="74" w:hanging="573"/>
        <w:contextualSpacing/>
        <w:rPr/>
      </w:pPr>
      <w:r>
        <w:rPr/>
        <w:t xml:space="preserve">W przypadku wyboru oferty wykonawców wspólnie ubiegających się o udzielenie zamówienia, przed podpisaniem umowy o udzielenie zamówienia, Wykonawcy muszą dostarczyć umowę konsorcjum regulującą współpracę Wykonawców wspólnie ubiegających się o zamówienie.   </w:t>
      </w:r>
    </w:p>
    <w:p>
      <w:pPr>
        <w:pStyle w:val="ListParagraph"/>
        <w:numPr>
          <w:ilvl w:val="1"/>
          <w:numId w:val="13"/>
        </w:numPr>
        <w:spacing w:lineRule="auto" w:line="259" w:before="0" w:after="120"/>
        <w:ind w:left="567" w:right="74" w:hanging="573"/>
        <w:contextualSpacing/>
        <w:rPr/>
      </w:pPr>
      <w:r>
        <w:rPr/>
        <w:t xml:space="preserve">Wykonawcy, którego oferta została wybrana odrębnym pismem zostanie wskazane miejsce i termin podpisania umowy. </w:t>
      </w:r>
    </w:p>
    <w:p>
      <w:pPr>
        <w:pStyle w:val="Normal"/>
        <w:spacing w:before="0" w:after="212"/>
        <w:ind w:left="7" w:right="76" w:hanging="10"/>
        <w:rPr/>
      </w:pPr>
      <w:r>
        <w:rPr/>
      </w:r>
    </w:p>
    <w:p>
      <w:pPr>
        <w:pStyle w:val="Nagwek1"/>
        <w:numPr>
          <w:ilvl w:val="0"/>
          <w:numId w:val="11"/>
        </w:numPr>
        <w:shd w:val="clear" w:fill="F7CAAC"/>
        <w:ind w:left="426" w:right="4000" w:hanging="426"/>
        <w:rPr/>
      </w:pPr>
      <w:bookmarkStart w:id="19" w:name="_Toc38874121"/>
      <w:r>
        <w:rPr/>
        <w:t>Wymagania dotyczące zabezpieczenia należytego wykonania umowy</w:t>
      </w:r>
      <w:bookmarkEnd w:id="19"/>
    </w:p>
    <w:p>
      <w:pPr>
        <w:pStyle w:val="ListParagraph"/>
        <w:numPr>
          <w:ilvl w:val="0"/>
          <w:numId w:val="13"/>
        </w:numPr>
        <w:spacing w:lineRule="auto" w:line="259" w:before="0" w:after="120"/>
        <w:ind w:left="360" w:right="74" w:hanging="360"/>
        <w:contextualSpacing/>
        <w:rPr>
          <w:b/>
          <w:b/>
          <w:bCs/>
          <w:vanish/>
        </w:rPr>
      </w:pPr>
      <w:r>
        <w:rPr>
          <w:b/>
          <w:bCs/>
          <w:vanish/>
        </w:rPr>
      </w:r>
    </w:p>
    <w:p>
      <w:pPr>
        <w:pStyle w:val="ListParagraph"/>
        <w:numPr>
          <w:ilvl w:val="1"/>
          <w:numId w:val="13"/>
        </w:numPr>
        <w:spacing w:lineRule="auto" w:line="259" w:before="0" w:after="120"/>
        <w:ind w:left="426" w:right="74" w:hanging="432"/>
        <w:contextualSpacing/>
        <w:rPr>
          <w:b/>
          <w:b/>
          <w:bCs/>
        </w:rPr>
      </w:pPr>
      <w:r>
        <w:rPr>
          <w:b/>
          <w:bCs/>
        </w:rPr>
        <w:t xml:space="preserve">Informacje ogólne. </w:t>
      </w:r>
    </w:p>
    <w:p>
      <w:pPr>
        <w:pStyle w:val="ListParagraph"/>
        <w:numPr>
          <w:ilvl w:val="2"/>
          <w:numId w:val="13"/>
        </w:numPr>
        <w:spacing w:lineRule="auto" w:line="259" w:before="0" w:after="120"/>
        <w:ind w:left="709" w:right="74" w:hanging="709"/>
        <w:contextualSpacing/>
        <w:rPr/>
      </w:pPr>
      <w:r>
        <w:rPr/>
        <w:t xml:space="preserve">Zamawiający przewiduje wniesienie zabezpieczenie należytego wykonania umowy, które  służyć będzie pokryciu roszczeń z tytułu niewykonania lub nienależytego wykonania umowy. </w:t>
      </w:r>
    </w:p>
    <w:p>
      <w:pPr>
        <w:pStyle w:val="ListParagraph"/>
        <w:numPr>
          <w:ilvl w:val="2"/>
          <w:numId w:val="13"/>
        </w:numPr>
        <w:spacing w:lineRule="auto" w:line="259" w:before="0" w:after="120"/>
        <w:ind w:left="709" w:right="74" w:hanging="709"/>
        <w:contextualSpacing/>
        <w:rPr/>
      </w:pPr>
      <w:r>
        <w:rPr/>
        <w:t xml:space="preserve">Wykonawcy wspólnie ubiegający się o udzielenie zamówienia ponoszą solidarną odpowiedzialność za wykonanie umowy i wniesienie zabezpieczenia należytego wykonania umowy.   </w:t>
      </w:r>
    </w:p>
    <w:p>
      <w:pPr>
        <w:pStyle w:val="ListParagraph"/>
        <w:numPr>
          <w:ilvl w:val="1"/>
          <w:numId w:val="13"/>
        </w:numPr>
        <w:spacing w:lineRule="auto" w:line="259" w:before="0" w:after="120"/>
        <w:ind w:left="426" w:right="74" w:hanging="432"/>
        <w:contextualSpacing/>
        <w:rPr>
          <w:b/>
          <w:b/>
          <w:bCs/>
        </w:rPr>
      </w:pPr>
      <w:r>
        <w:rPr>
          <w:b/>
          <w:bCs/>
        </w:rPr>
        <w:t xml:space="preserve">Wysokość zabezpieczenia należytego wykonania umowy. </w:t>
      </w:r>
    </w:p>
    <w:p>
      <w:pPr>
        <w:pStyle w:val="ListParagraph"/>
        <w:numPr>
          <w:ilvl w:val="2"/>
          <w:numId w:val="13"/>
        </w:numPr>
        <w:spacing w:lineRule="auto" w:line="259" w:before="0" w:after="120"/>
        <w:ind w:left="709" w:right="74" w:hanging="709"/>
        <w:contextualSpacing/>
        <w:rPr/>
      </w:pPr>
      <w:r>
        <w:rPr/>
        <w:t>Zamawiający ustala zabezpieczenie należytego wykonania umowy zawartej w wyniku postępowania o udzielenie niniejszego zamówienia w wysokości 10 % ceny całkowitej podanej w ofercie brutto.</w:t>
      </w:r>
    </w:p>
    <w:p>
      <w:pPr>
        <w:pStyle w:val="ListParagraph"/>
        <w:numPr>
          <w:ilvl w:val="2"/>
          <w:numId w:val="13"/>
        </w:numPr>
        <w:spacing w:lineRule="auto" w:line="259" w:before="0" w:after="120"/>
        <w:ind w:left="709" w:right="74" w:hanging="709"/>
        <w:contextualSpacing/>
        <w:rPr/>
      </w:pPr>
      <w:r>
        <w:rPr/>
        <w:t xml:space="preserve">Wybrany Wykonawca zobowiązany jest wnieść zabezpieczenie należytego wykonania przed dniem podpisania umowy.  </w:t>
      </w:r>
    </w:p>
    <w:p>
      <w:pPr>
        <w:pStyle w:val="ListParagraph"/>
        <w:numPr>
          <w:ilvl w:val="1"/>
          <w:numId w:val="13"/>
        </w:numPr>
        <w:spacing w:lineRule="auto" w:line="259" w:before="0" w:after="120"/>
        <w:ind w:left="426" w:right="74" w:hanging="432"/>
        <w:contextualSpacing/>
        <w:rPr>
          <w:b/>
          <w:b/>
          <w:bCs/>
        </w:rPr>
      </w:pPr>
      <w:r>
        <w:rPr>
          <w:b/>
          <w:bCs/>
        </w:rPr>
        <w:t xml:space="preserve">Forma zabezpieczenia należytego wykonania umowy. </w:t>
      </w:r>
    </w:p>
    <w:p>
      <w:pPr>
        <w:pStyle w:val="ListParagraph"/>
        <w:numPr>
          <w:ilvl w:val="2"/>
          <w:numId w:val="13"/>
        </w:numPr>
        <w:spacing w:lineRule="auto" w:line="259" w:before="0" w:after="120"/>
        <w:ind w:left="709" w:right="74" w:hanging="709"/>
        <w:contextualSpacing/>
        <w:rPr/>
      </w:pPr>
      <w:r>
        <w:rPr/>
        <w:t xml:space="preserve">Zabezpieczenie należytego wykonania umowy może być wniesione według wyboru Wykonawcy w jednej lub w kilku następujących formach: </w:t>
      </w:r>
    </w:p>
    <w:p>
      <w:pPr>
        <w:pStyle w:val="Normal"/>
        <w:numPr>
          <w:ilvl w:val="0"/>
          <w:numId w:val="10"/>
        </w:numPr>
        <w:ind w:left="1032" w:right="76" w:hanging="312"/>
        <w:rPr/>
      </w:pPr>
      <w:r>
        <w:rPr/>
        <w:t xml:space="preserve">pieniądzu; </w:t>
      </w:r>
    </w:p>
    <w:p>
      <w:pPr>
        <w:pStyle w:val="Normal"/>
        <w:numPr>
          <w:ilvl w:val="0"/>
          <w:numId w:val="10"/>
        </w:numPr>
        <w:ind w:left="1032" w:right="76" w:hanging="312"/>
        <w:rPr/>
      </w:pPr>
      <w:r>
        <w:rPr/>
        <w:t xml:space="preserve">poręczeniach bankowych lub poręczeniach spółdzielczej kasy oszczędnościowo-kredytowej, z tym że zobowiązanie kasy jest zawsze zobowiązaniem pieniężnym; </w:t>
      </w:r>
    </w:p>
    <w:p>
      <w:pPr>
        <w:pStyle w:val="Normal"/>
        <w:numPr>
          <w:ilvl w:val="0"/>
          <w:numId w:val="10"/>
        </w:numPr>
        <w:spacing w:lineRule="auto" w:line="264" w:before="0" w:after="40"/>
        <w:ind w:left="1032" w:right="76" w:hanging="312"/>
        <w:rPr/>
      </w:pPr>
      <w:r>
        <w:rPr/>
        <w:t xml:space="preserve">gwarancjach bankowych; </w:t>
      </w:r>
    </w:p>
    <w:p>
      <w:pPr>
        <w:pStyle w:val="Normal"/>
        <w:numPr>
          <w:ilvl w:val="0"/>
          <w:numId w:val="10"/>
        </w:numPr>
        <w:spacing w:lineRule="auto" w:line="264" w:before="0" w:after="40"/>
        <w:ind w:left="1032" w:right="76" w:hanging="312"/>
        <w:rPr/>
      </w:pPr>
      <w:r>
        <w:rPr/>
        <w:t xml:space="preserve">gwarancjach ubezpieczeniowych; </w:t>
      </w:r>
    </w:p>
    <w:p>
      <w:pPr>
        <w:pStyle w:val="Normal"/>
        <w:numPr>
          <w:ilvl w:val="0"/>
          <w:numId w:val="10"/>
        </w:numPr>
        <w:ind w:left="1032" w:right="76" w:hanging="312"/>
        <w:rPr/>
      </w:pPr>
      <w:r>
        <w:rPr/>
        <w:t xml:space="preserve">poręczeniach udzielanych przez podmioty, o których mowa w art. 6b ust. 5 pkt 2 ustawy z dnia 9 listopada 2000 r. o utworzeniu Polskiej Agencji Rozwoju Przedsiębiorczości, </w:t>
      </w:r>
    </w:p>
    <w:p>
      <w:pPr>
        <w:pStyle w:val="ListParagraph"/>
        <w:numPr>
          <w:ilvl w:val="2"/>
          <w:numId w:val="13"/>
        </w:numPr>
        <w:spacing w:lineRule="auto" w:line="259" w:before="0" w:after="120"/>
        <w:ind w:left="709" w:right="74" w:hanging="709"/>
        <w:contextualSpacing/>
        <w:rPr/>
      </w:pPr>
      <w:r>
        <w:rPr/>
        <w:t>Zabezpieczenie wnoszone w pieniądzu Wykonawca wpłaci przelewem na następujący nieoprocentowany rachunek bankowy Zamawiającego: 40 1240 6335 1111 0000 5129 2850</w:t>
      </w:r>
    </w:p>
    <w:p>
      <w:pPr>
        <w:pStyle w:val="ListParagraph"/>
        <w:spacing w:lineRule="auto" w:line="259" w:before="0" w:after="120"/>
        <w:ind w:left="709" w:right="74" w:hanging="0"/>
        <w:contextualSpacing/>
        <w:rPr/>
      </w:pPr>
      <w:r>
        <w:rPr/>
        <w:t xml:space="preserve">– </w:t>
      </w:r>
      <w:r>
        <w:rPr/>
        <w:t>z opisem  „zabezpieczenie wykonania umowy – sprzęt e-usługi w SPZOZ-MOZ w Zielonce”</w:t>
      </w:r>
    </w:p>
    <w:p>
      <w:pPr>
        <w:pStyle w:val="ListParagraph"/>
        <w:numPr>
          <w:ilvl w:val="2"/>
          <w:numId w:val="13"/>
        </w:numPr>
        <w:spacing w:lineRule="auto" w:line="259" w:before="0" w:after="120"/>
        <w:ind w:left="709" w:right="74" w:hanging="709"/>
        <w:contextualSpacing/>
        <w:rPr/>
      </w:pPr>
      <w:r>
        <w:rPr/>
        <w:t xml:space="preserve">Jeżeli zabezpieczenie wniesiono w pieniądzu, Zamawiający przechowuje je na oprocentowanym rachunku bankowym. Zamawiający zwraca zabezpieczenie wniesione  w pieniądzu z odsetkami wynikającymi z umowy rachunku bankowego, na którym było ono przechowywane, pomniejszone o koszt prowadzenia tego rachunku oraz prowizji bankowej za przelew pieniędzy na rachunek bankowy Wykonawcy.  </w:t>
      </w:r>
    </w:p>
    <w:p>
      <w:pPr>
        <w:pStyle w:val="ListParagraph"/>
        <w:numPr>
          <w:ilvl w:val="2"/>
          <w:numId w:val="13"/>
        </w:numPr>
        <w:spacing w:lineRule="auto" w:line="259" w:before="0" w:after="120"/>
        <w:ind w:left="709" w:right="74" w:hanging="709"/>
        <w:contextualSpacing/>
        <w:rPr/>
      </w:pPr>
      <w:r>
        <w:rPr/>
        <w:t xml:space="preserve">Jeżeli zabezpieczenie wniesiono w postaci gwarancji bankowej lub gwarancji ubezpieczeniowej, z treści tych gwarancji musi w szczególności jednoznacznie wynikać zobowiązanie Gwaranta do zapłaty, do wysokości określonej w gwarancji kwoty, nieodwołalnie i bezwarunkowo, na pierwsze pisemne żądanie Zamawiającego zawierające oświadczenie, że zaistniałe okoliczności związane są z niewykonaniem lub nienależytym wykonaniem umowy, oraz termin obowiązywania gwarancji i termin oraz miejsce zwrotu gwarancji.  </w:t>
      </w:r>
    </w:p>
    <w:p>
      <w:pPr>
        <w:pStyle w:val="ListParagraph"/>
        <w:numPr>
          <w:ilvl w:val="2"/>
          <w:numId w:val="13"/>
        </w:numPr>
        <w:spacing w:lineRule="auto" w:line="259" w:before="0" w:after="120"/>
        <w:ind w:left="709" w:right="74" w:hanging="709"/>
        <w:contextualSpacing/>
        <w:rPr/>
      </w:pPr>
      <w:r>
        <w:rPr/>
        <w:t xml:space="preserve">Jeżeli Wykonawca, którego oferta została wybrana uchyla się od zawarcia umowy  w sprawie zamówienia publicznego lub nie wniesie zabezpieczenia należytego wykonania umowy, Zamawiający może wybrać najkorzystniejszą ofertę spośród pozostałych ofert stosownie do treści art. 94 ust. 3 ustawy z dnia 29 stycznia 2004 r Prawo zamówień publicznych. </w:t>
      </w:r>
    </w:p>
    <w:p>
      <w:pPr>
        <w:pStyle w:val="ListParagraph"/>
        <w:numPr>
          <w:ilvl w:val="2"/>
          <w:numId w:val="13"/>
        </w:numPr>
        <w:spacing w:lineRule="auto" w:line="259" w:before="0" w:after="120"/>
        <w:ind w:left="709" w:right="74" w:hanging="709"/>
        <w:contextualSpacing/>
        <w:rPr/>
      </w:pPr>
      <w:r>
        <w:rPr/>
        <w:t xml:space="preserve">W trakcie realizacji umowy Wykonawca może dokonać zmiany formy zabezpieczenia  na jedną lub kilka form zabezpieczenia, jednak zmiana formy zabezpieczenia musi być dokonana z zachowaniem ciągłości zabezpieczenia i bez zmniejszenia jego wysokości. </w:t>
      </w:r>
    </w:p>
    <w:p>
      <w:pPr>
        <w:pStyle w:val="ListParagraph"/>
        <w:numPr>
          <w:ilvl w:val="1"/>
          <w:numId w:val="13"/>
        </w:numPr>
        <w:spacing w:lineRule="auto" w:line="259" w:before="0" w:after="120"/>
        <w:ind w:left="426" w:right="74" w:hanging="432"/>
        <w:contextualSpacing/>
        <w:rPr>
          <w:b/>
          <w:b/>
          <w:bCs/>
        </w:rPr>
      </w:pPr>
      <w:r>
        <w:rPr>
          <w:b/>
          <w:bCs/>
        </w:rPr>
        <w:t xml:space="preserve">Zwrot zabezpieczenia należytego wykonania umowy. </w:t>
      </w:r>
    </w:p>
    <w:p>
      <w:pPr>
        <w:pStyle w:val="ListParagraph"/>
        <w:numPr>
          <w:ilvl w:val="2"/>
          <w:numId w:val="13"/>
        </w:numPr>
        <w:spacing w:lineRule="auto" w:line="259" w:before="0" w:after="120"/>
        <w:ind w:left="709" w:right="74" w:hanging="709"/>
        <w:contextualSpacing/>
        <w:rPr/>
      </w:pPr>
      <w:r>
        <w:rPr/>
        <w:t xml:space="preserve">Zamawiający zwróci 70% zabezpieczenia w terminie 30 dni od dnia wykonania zamówienia (ostatecznego odbioru) i uznania przez Zamawiającego za należycie wykonane. </w:t>
      </w:r>
    </w:p>
    <w:p>
      <w:pPr>
        <w:pStyle w:val="ListParagraph"/>
        <w:numPr>
          <w:ilvl w:val="2"/>
          <w:numId w:val="13"/>
        </w:numPr>
        <w:spacing w:lineRule="auto" w:line="259" w:before="0" w:after="120"/>
        <w:ind w:left="709" w:right="74" w:hanging="709"/>
        <w:contextualSpacing/>
        <w:rPr/>
      </w:pPr>
      <w:r>
        <w:rPr/>
        <w:t xml:space="preserve">Zamawiający pozostawi na zabezpieczenie roszczeń z tytułu rękojmi za wady kwotę wynoszącą 30% wysokości zabezpieczenia. </w:t>
      </w:r>
    </w:p>
    <w:p>
      <w:pPr>
        <w:pStyle w:val="ListParagraph"/>
        <w:numPr>
          <w:ilvl w:val="2"/>
          <w:numId w:val="13"/>
        </w:numPr>
        <w:spacing w:lineRule="auto" w:line="259" w:before="0" w:after="120"/>
        <w:ind w:left="709" w:right="74" w:hanging="709"/>
        <w:contextualSpacing/>
        <w:rPr/>
      </w:pPr>
      <w:r>
        <w:rPr/>
        <w:t xml:space="preserve">Kwota, o której mowa wyżej jest zwracana nie później niż w 15 dniu po upływie okresu rękojmi za wady. </w:t>
      </w:r>
    </w:p>
    <w:p>
      <w:pPr>
        <w:pStyle w:val="Normal"/>
        <w:spacing w:before="0" w:after="212"/>
        <w:ind w:left="7" w:right="76" w:hanging="10"/>
        <w:rPr/>
      </w:pPr>
      <w:r>
        <w:rPr/>
      </w:r>
    </w:p>
    <w:p>
      <w:pPr>
        <w:pStyle w:val="Nagwek1"/>
        <w:numPr>
          <w:ilvl w:val="0"/>
          <w:numId w:val="11"/>
        </w:numPr>
        <w:shd w:val="clear" w:fill="F7CAAC"/>
        <w:ind w:left="426" w:right="4000" w:hanging="426"/>
        <w:rPr/>
      </w:pPr>
      <w:bookmarkStart w:id="20" w:name="_Toc38874122"/>
      <w:r>
        <w:rPr/>
        <w:t>Istotne dla stron postanowienia, które zostaną wprowadzone  do treści zawieranej umowy w sprawie zamówienia publicznego</w:t>
      </w:r>
      <w:bookmarkEnd w:id="20"/>
    </w:p>
    <w:p>
      <w:pPr>
        <w:pStyle w:val="ListParagraph"/>
        <w:numPr>
          <w:ilvl w:val="0"/>
          <w:numId w:val="13"/>
        </w:numPr>
        <w:spacing w:lineRule="auto" w:line="259" w:before="0" w:after="120"/>
        <w:ind w:left="360" w:right="74" w:hanging="360"/>
        <w:contextualSpacing/>
        <w:rPr>
          <w:vanish/>
        </w:rPr>
      </w:pPr>
      <w:r>
        <w:rPr>
          <w:vanish/>
        </w:rPr>
      </w:r>
    </w:p>
    <w:p>
      <w:pPr>
        <w:pStyle w:val="ListParagraph"/>
        <w:numPr>
          <w:ilvl w:val="1"/>
          <w:numId w:val="13"/>
        </w:numPr>
        <w:spacing w:lineRule="auto" w:line="259" w:before="0" w:after="120"/>
        <w:ind w:left="567" w:right="74" w:hanging="573"/>
        <w:contextualSpacing/>
        <w:rPr/>
      </w:pPr>
      <w:r>
        <w:rPr/>
        <w:t xml:space="preserve">Zgodnie z art. 139 ustawy z dnia 29 stycznia 2004 r Prawo zamówień publicznych umowa  w sprawie niniejszego zamówienia zostanie zawarta w formie pisemnej, mają do niej zastosowanie przepisy kodeksu cywilnego, jeżeli przepisy ustawy prawa zamówień publicznych nie stanowią inaczej. </w:t>
      </w:r>
    </w:p>
    <w:p>
      <w:pPr>
        <w:pStyle w:val="ListParagraph"/>
        <w:numPr>
          <w:ilvl w:val="1"/>
          <w:numId w:val="13"/>
        </w:numPr>
        <w:spacing w:lineRule="auto" w:line="259" w:before="0" w:after="120"/>
        <w:ind w:left="567" w:right="74" w:hanging="573"/>
        <w:contextualSpacing/>
        <w:rPr/>
      </w:pPr>
      <w:r>
        <w:rPr/>
        <w:t xml:space="preserve">Istotne postanowienia umowy zostały przedstawione </w:t>
      </w:r>
      <w:r>
        <w:rPr>
          <w:b/>
          <w:bCs/>
        </w:rPr>
        <w:t>w załączniku nr 4 do SIWZ</w:t>
      </w:r>
      <w:r>
        <w:rPr/>
        <w:t>.</w:t>
      </w:r>
    </w:p>
    <w:p>
      <w:pPr>
        <w:pStyle w:val="Normal"/>
        <w:spacing w:before="0" w:after="212"/>
        <w:ind w:left="7" w:right="76" w:hanging="10"/>
        <w:rPr/>
      </w:pPr>
      <w:r>
        <w:rPr/>
      </w:r>
    </w:p>
    <w:p>
      <w:pPr>
        <w:pStyle w:val="Nagwek1"/>
        <w:numPr>
          <w:ilvl w:val="0"/>
          <w:numId w:val="11"/>
        </w:numPr>
        <w:shd w:val="clear" w:fill="F7CAAC"/>
        <w:ind w:left="426" w:right="4000" w:hanging="426"/>
        <w:rPr/>
      </w:pPr>
      <w:bookmarkStart w:id="21" w:name="_Toc38874123"/>
      <w:r>
        <w:rPr/>
        <w:t>Finansowanie zamówienia</w:t>
      </w:r>
      <w:bookmarkEnd w:id="21"/>
    </w:p>
    <w:p>
      <w:pPr>
        <w:pStyle w:val="ListParagraph"/>
        <w:numPr>
          <w:ilvl w:val="0"/>
          <w:numId w:val="13"/>
        </w:numPr>
        <w:spacing w:lineRule="auto" w:line="259" w:before="0" w:after="120"/>
        <w:ind w:left="360" w:right="74" w:hanging="360"/>
        <w:contextualSpacing/>
        <w:rPr>
          <w:vanish/>
        </w:rPr>
      </w:pPr>
      <w:r>
        <w:rPr>
          <w:vanish/>
        </w:rPr>
      </w:r>
    </w:p>
    <w:p>
      <w:pPr>
        <w:pStyle w:val="ListParagraph"/>
        <w:numPr>
          <w:ilvl w:val="1"/>
          <w:numId w:val="13"/>
        </w:numPr>
        <w:spacing w:lineRule="auto" w:line="259" w:before="0" w:after="120"/>
        <w:ind w:left="567" w:right="74" w:hanging="573"/>
        <w:contextualSpacing/>
        <w:rPr/>
      </w:pPr>
      <w:r>
        <w:rPr/>
        <w:t>Zamówienie będzie współfinansowane ze środków Unii Europejskiej w ramach Regionalnego Programu Operacyjnego Województwa Mazowieckiego – nr projektu: RPMA.02.01.02-14-a932/18</w:t>
      </w:r>
    </w:p>
    <w:p>
      <w:pPr>
        <w:pStyle w:val="ListParagraph"/>
        <w:numPr>
          <w:ilvl w:val="1"/>
          <w:numId w:val="13"/>
        </w:numPr>
        <w:spacing w:lineRule="auto" w:line="259" w:before="0" w:after="120"/>
        <w:ind w:left="567" w:right="74" w:hanging="573"/>
        <w:contextualSpacing/>
        <w:rPr/>
      </w:pPr>
      <w:r>
        <w:rPr/>
        <w:t xml:space="preserve">Wynagrodzenie za wykonane dostawy, usługi, roboty płatne będzie w terminie 30 dni od daty doręczenia faktury.  </w:t>
      </w:r>
    </w:p>
    <w:p>
      <w:pPr>
        <w:pStyle w:val="ListParagraph"/>
        <w:numPr>
          <w:ilvl w:val="1"/>
          <w:numId w:val="13"/>
        </w:numPr>
        <w:spacing w:lineRule="auto" w:line="259" w:before="0" w:after="120"/>
        <w:ind w:left="567" w:right="74" w:hanging="573"/>
        <w:contextualSpacing/>
        <w:rPr/>
      </w:pPr>
      <w:r>
        <w:rPr/>
        <w:t xml:space="preserve">Podstawę do wystawienia faktury stanowi każdorazowo załączony do faktury oryginał protokołu odbioru, potwierdzony przez strony na warunkach określonych we wzorze umowy dla zamówienia, stanowiący załącznik nr 4 do SIWZ.  </w:t>
      </w:r>
    </w:p>
    <w:p>
      <w:pPr>
        <w:pStyle w:val="Normal"/>
        <w:spacing w:before="0" w:after="212"/>
        <w:ind w:left="7" w:right="76" w:hanging="10"/>
        <w:rPr/>
      </w:pPr>
      <w:r>
        <w:rPr/>
      </w:r>
    </w:p>
    <w:p>
      <w:pPr>
        <w:pStyle w:val="Nagwek1"/>
        <w:numPr>
          <w:ilvl w:val="0"/>
          <w:numId w:val="11"/>
        </w:numPr>
        <w:shd w:val="clear" w:fill="F7CAAC"/>
        <w:ind w:left="426" w:right="4000" w:hanging="426"/>
        <w:rPr/>
      </w:pPr>
      <w:bookmarkStart w:id="22" w:name="_Toc38874124"/>
      <w:r>
        <w:rPr/>
        <w:t>Informacja o możliwości składania ofert częściowych</w:t>
      </w:r>
      <w:bookmarkEnd w:id="22"/>
    </w:p>
    <w:p>
      <w:pPr>
        <w:pStyle w:val="Normal"/>
        <w:spacing w:lineRule="auto" w:line="264" w:before="0" w:after="0"/>
        <w:ind w:left="5" w:right="74" w:hanging="11"/>
        <w:rPr/>
      </w:pPr>
      <w:r>
        <w:rPr/>
        <w:t>Zamawiający nie dopuszcza składania ofert częściowych.</w:t>
      </w:r>
    </w:p>
    <w:p>
      <w:pPr>
        <w:pStyle w:val="Normal"/>
        <w:spacing w:before="0" w:after="212"/>
        <w:ind w:left="7" w:right="76" w:hanging="10"/>
        <w:rPr/>
      </w:pPr>
      <w:r>
        <w:rPr/>
      </w:r>
    </w:p>
    <w:p>
      <w:pPr>
        <w:pStyle w:val="Nagwek1"/>
        <w:numPr>
          <w:ilvl w:val="0"/>
          <w:numId w:val="11"/>
        </w:numPr>
        <w:shd w:val="clear" w:fill="F7CAAC"/>
        <w:ind w:left="426" w:right="4000" w:hanging="426"/>
        <w:rPr/>
      </w:pPr>
      <w:bookmarkStart w:id="23" w:name="_Toc38874125"/>
      <w:r>
        <w:rPr/>
        <w:t>Informacja o przewidywanych zamówieniach podobnych i dodatkowych</w:t>
      </w:r>
      <w:bookmarkEnd w:id="23"/>
    </w:p>
    <w:p>
      <w:pPr>
        <w:pStyle w:val="Normal"/>
        <w:spacing w:lineRule="auto" w:line="264" w:before="0" w:after="0"/>
        <w:ind w:left="5" w:right="74" w:hanging="11"/>
        <w:rPr/>
      </w:pPr>
      <w:r>
        <w:rPr/>
        <w:t>Zamawiający nie przewiduje udzielenia zamówień podobnych i dodatkowych, zgodnie z art. 67 ust. 1 pkt 6 i 7 ustawy z dnia 29 stycznia 2004 r. - Prawo zamówień publicznych.</w:t>
      </w:r>
    </w:p>
    <w:p>
      <w:pPr>
        <w:pStyle w:val="Normal"/>
        <w:spacing w:before="0" w:after="212"/>
        <w:ind w:left="7" w:right="76" w:hanging="10"/>
        <w:rPr/>
      </w:pPr>
      <w:r>
        <w:rPr/>
      </w:r>
    </w:p>
    <w:p>
      <w:pPr>
        <w:pStyle w:val="Nagwek1"/>
        <w:numPr>
          <w:ilvl w:val="0"/>
          <w:numId w:val="11"/>
        </w:numPr>
        <w:shd w:val="clear" w:fill="F7CAAC"/>
        <w:ind w:left="426" w:right="4000" w:hanging="426"/>
        <w:rPr/>
      </w:pPr>
      <w:bookmarkStart w:id="24" w:name="_Toc38874126"/>
      <w:r>
        <w:rPr/>
        <w:t>Informacja o ofercie wariantowej</w:t>
      </w:r>
      <w:bookmarkEnd w:id="24"/>
    </w:p>
    <w:p>
      <w:pPr>
        <w:pStyle w:val="Normal"/>
        <w:spacing w:before="0" w:after="0"/>
        <w:ind w:left="7" w:right="74" w:hanging="10"/>
        <w:rPr/>
      </w:pPr>
      <w:r>
        <w:rPr/>
        <w:t xml:space="preserve">Zamawiający dopuszcza składania ofert wariantowych. </w:t>
      </w:r>
    </w:p>
    <w:p>
      <w:pPr>
        <w:pStyle w:val="Normal"/>
        <w:spacing w:before="0" w:after="212"/>
        <w:ind w:left="7" w:right="76" w:hanging="10"/>
        <w:rPr/>
      </w:pPr>
      <w:r>
        <w:rPr/>
      </w:r>
    </w:p>
    <w:p>
      <w:pPr>
        <w:pStyle w:val="Nagwek1"/>
        <w:numPr>
          <w:ilvl w:val="0"/>
          <w:numId w:val="11"/>
        </w:numPr>
        <w:shd w:val="clear" w:fill="F7CAAC"/>
        <w:ind w:left="426" w:right="4000" w:hanging="426"/>
        <w:rPr/>
      </w:pPr>
      <w:bookmarkStart w:id="25" w:name="_Toc38874127"/>
      <w:r>
        <w:rPr/>
        <w:t>Informacja o aukcji elektronicznej</w:t>
      </w:r>
      <w:bookmarkEnd w:id="25"/>
    </w:p>
    <w:p>
      <w:pPr>
        <w:pStyle w:val="Normal"/>
        <w:spacing w:before="0" w:after="0"/>
        <w:ind w:left="7" w:right="74" w:hanging="10"/>
        <w:rPr/>
      </w:pPr>
      <w:r>
        <w:rPr/>
        <w:t xml:space="preserve">Zamawiający nie przewiduje prowadzenia aukcji elektronicznej. </w:t>
      </w:r>
    </w:p>
    <w:p>
      <w:pPr>
        <w:pStyle w:val="Normal"/>
        <w:spacing w:before="0" w:after="212"/>
        <w:ind w:left="7" w:right="76" w:hanging="10"/>
        <w:rPr/>
      </w:pPr>
      <w:r>
        <w:rPr/>
      </w:r>
    </w:p>
    <w:p>
      <w:pPr>
        <w:pStyle w:val="Nagwek1"/>
        <w:numPr>
          <w:ilvl w:val="0"/>
          <w:numId w:val="11"/>
        </w:numPr>
        <w:shd w:val="clear" w:fill="F7CAAC"/>
        <w:ind w:left="426" w:right="4000" w:hanging="426"/>
        <w:rPr/>
      </w:pPr>
      <w:bookmarkStart w:id="26" w:name="_Toc38874128"/>
      <w:r>
        <w:rPr/>
        <w:t>Pouczenie o środkach ochrony prawnej przysługujących Wykonawcy w toku postępowania o udzielenie zamówienia</w:t>
      </w:r>
      <w:bookmarkEnd w:id="26"/>
    </w:p>
    <w:p>
      <w:pPr>
        <w:pStyle w:val="ListParagraph"/>
        <w:numPr>
          <w:ilvl w:val="0"/>
          <w:numId w:val="13"/>
        </w:numPr>
        <w:spacing w:lineRule="auto" w:line="259" w:before="0" w:after="120"/>
        <w:ind w:left="360" w:right="74" w:hanging="360"/>
        <w:contextualSpacing/>
        <w:rPr>
          <w:vanish/>
        </w:rPr>
      </w:pPr>
      <w:r>
        <w:rPr>
          <w:vanish/>
        </w:rPr>
      </w:r>
    </w:p>
    <w:p>
      <w:pPr>
        <w:pStyle w:val="ListParagraph"/>
        <w:numPr>
          <w:ilvl w:val="0"/>
          <w:numId w:val="13"/>
        </w:numPr>
        <w:spacing w:lineRule="auto" w:line="259" w:before="0" w:after="120"/>
        <w:ind w:left="360" w:right="74" w:hanging="360"/>
        <w:contextualSpacing/>
        <w:rPr>
          <w:vanish/>
        </w:rPr>
      </w:pPr>
      <w:r>
        <w:rPr>
          <w:vanish/>
        </w:rPr>
      </w:r>
    </w:p>
    <w:p>
      <w:pPr>
        <w:pStyle w:val="ListParagraph"/>
        <w:numPr>
          <w:ilvl w:val="0"/>
          <w:numId w:val="13"/>
        </w:numPr>
        <w:spacing w:lineRule="auto" w:line="259" w:before="0" w:after="120"/>
        <w:ind w:left="360" w:right="74" w:hanging="360"/>
        <w:contextualSpacing/>
        <w:rPr>
          <w:vanish/>
        </w:rPr>
      </w:pPr>
      <w:r>
        <w:rPr>
          <w:vanish/>
        </w:rPr>
      </w:r>
    </w:p>
    <w:p>
      <w:pPr>
        <w:pStyle w:val="ListParagraph"/>
        <w:numPr>
          <w:ilvl w:val="0"/>
          <w:numId w:val="13"/>
        </w:numPr>
        <w:spacing w:lineRule="auto" w:line="259" w:before="0" w:after="120"/>
        <w:ind w:left="360" w:right="74" w:hanging="360"/>
        <w:contextualSpacing/>
        <w:rPr>
          <w:vanish/>
        </w:rPr>
      </w:pPr>
      <w:r>
        <w:rPr>
          <w:vanish/>
        </w:rPr>
      </w:r>
    </w:p>
    <w:p>
      <w:pPr>
        <w:pStyle w:val="ListParagraph"/>
        <w:numPr>
          <w:ilvl w:val="0"/>
          <w:numId w:val="13"/>
        </w:numPr>
        <w:spacing w:lineRule="auto" w:line="259" w:before="0" w:after="120"/>
        <w:ind w:left="360" w:right="74" w:hanging="360"/>
        <w:contextualSpacing/>
        <w:rPr>
          <w:vanish/>
        </w:rPr>
      </w:pPr>
      <w:r>
        <w:rPr>
          <w:vanish/>
        </w:rPr>
      </w:r>
    </w:p>
    <w:p>
      <w:pPr>
        <w:pStyle w:val="ListParagraph"/>
        <w:numPr>
          <w:ilvl w:val="1"/>
          <w:numId w:val="13"/>
        </w:numPr>
        <w:spacing w:lineRule="auto" w:line="259" w:before="0" w:after="120"/>
        <w:ind w:left="567" w:right="74" w:hanging="573"/>
        <w:contextualSpacing/>
        <w:rPr/>
      </w:pPr>
      <w:r>
        <w:rPr/>
        <w:t xml:space="preserve">Środki ochrony prawnej określone w Dziale VI ustawy Prawo zamówień publicznych, przysługują Wykonawcy, a także innemu podmiotowi, jeżeli ma lub miał interes w uzyskaniu danego zamówienia oraz poniósł lub może ponieść szkodę w wyniku naruszenia przez Zamawiającego przepisów ustawy. </w:t>
      </w:r>
    </w:p>
    <w:p>
      <w:pPr>
        <w:pStyle w:val="ListParagraph"/>
        <w:numPr>
          <w:ilvl w:val="1"/>
          <w:numId w:val="13"/>
        </w:numPr>
        <w:spacing w:lineRule="auto" w:line="259" w:before="0" w:after="120"/>
        <w:ind w:left="567" w:right="74" w:hanging="573"/>
        <w:contextualSpacing/>
        <w:rPr/>
      </w:pPr>
      <w:r>
        <w:rPr/>
        <w:t xml:space="preserve">Środki ochrony prawnej wobec ogłoszenia o zamówieniu oraz specyfikacji istotnych warunków zamówienia przysługują również organizacjom wpisanym na listę, o której mowa w art. 154 pkt 5  ustawy Prawo zamówień publicznych </w:t>
      </w:r>
    </w:p>
    <w:p>
      <w:pPr>
        <w:pStyle w:val="ListParagraph"/>
        <w:numPr>
          <w:ilvl w:val="1"/>
          <w:numId w:val="13"/>
        </w:numPr>
        <w:spacing w:lineRule="auto" w:line="259" w:before="0" w:after="120"/>
        <w:ind w:left="567" w:right="74" w:hanging="573"/>
        <w:contextualSpacing/>
        <w:rPr/>
      </w:pPr>
      <w:r>
        <w:rPr/>
        <w:t xml:space="preserve">Odwołanie przysługuje wyłącznie od niezgodnej z przepisami ustawy czynności Zamawiającego podjętej w postępowaniu o udzielenie zamówienia publicznego lub zaniechania czynności, do której Zamawiający jest zobowiązany na podstawie ustawy. </w:t>
      </w:r>
    </w:p>
    <w:p>
      <w:pPr>
        <w:pStyle w:val="ListParagraph"/>
        <w:numPr>
          <w:ilvl w:val="1"/>
          <w:numId w:val="13"/>
        </w:numPr>
        <w:spacing w:lineRule="auto" w:line="259" w:before="0" w:after="120"/>
        <w:ind w:left="567" w:right="74" w:hanging="573"/>
        <w:contextualSpacing/>
        <w:rPr/>
      </w:pPr>
      <w:r>
        <w:rPr/>
        <w:t xml:space="preserve">Odwołanie wnosi się w terminach i na zasadach określonych ustawą prawo zamówień publicznych. </w:t>
      </w:r>
    </w:p>
    <w:p>
      <w:pPr>
        <w:pStyle w:val="ListParagraph"/>
        <w:numPr>
          <w:ilvl w:val="1"/>
          <w:numId w:val="13"/>
        </w:numPr>
        <w:spacing w:lineRule="auto" w:line="259" w:before="0" w:after="120"/>
        <w:ind w:left="567" w:right="74" w:hanging="573"/>
        <w:contextualSpacing/>
        <w:rPr/>
      </w:pPr>
      <w:r>
        <w:rPr/>
        <w:t xml:space="preserve">Szczegółowy opis środków ochrony prawnej zawiera Dział VI Środki Ochrony Prawnej ustawy z dnia 29 stycznia 2004r. prawo zamówień publicznych. </w:t>
      </w:r>
    </w:p>
    <w:p>
      <w:pPr>
        <w:pStyle w:val="Normal"/>
        <w:spacing w:before="0" w:after="212"/>
        <w:ind w:left="7" w:right="76" w:hanging="10"/>
        <w:rPr/>
      </w:pPr>
      <w:r>
        <w:rPr/>
      </w:r>
    </w:p>
    <w:p>
      <w:pPr>
        <w:pStyle w:val="Nagwek1"/>
        <w:numPr>
          <w:ilvl w:val="0"/>
          <w:numId w:val="11"/>
        </w:numPr>
        <w:shd w:val="clear" w:fill="F7CAAC"/>
        <w:ind w:left="426" w:right="4000" w:hanging="426"/>
        <w:rPr/>
      </w:pPr>
      <w:bookmarkStart w:id="27" w:name="_Toc38874129"/>
      <w:r>
        <w:rPr/>
        <w:t>Klauzula informacyjna z art. 13 RODO w celu związanym z postępowaniem o udzielenie zamówienia publicznego</w:t>
      </w:r>
      <w:bookmarkEnd w:id="27"/>
    </w:p>
    <w:p>
      <w:pPr>
        <w:pStyle w:val="Normal"/>
        <w:spacing w:lineRule="auto" w:line="264" w:before="0" w:after="0"/>
        <w:ind w:left="-6" w:right="74" w:hanging="0"/>
        <w:rPr/>
      </w:pPr>
      <w:r>
        <w:rPr/>
        <w:t xml:space="preserve">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dalej „RODO”, informuję, że:  </w:t>
      </w:r>
    </w:p>
    <w:p>
      <w:pPr>
        <w:pStyle w:val="Normal"/>
        <w:spacing w:lineRule="auto" w:line="247" w:before="0" w:after="25"/>
        <w:ind w:left="426" w:right="76" w:hanging="426"/>
        <w:rPr>
          <w:iCs/>
        </w:rPr>
      </w:pPr>
      <w:r>
        <w:rPr>
          <w:iCs/>
        </w:rPr>
        <w:t>1)</w:t>
      </w:r>
      <w:r>
        <w:rPr>
          <w:i/>
        </w:rPr>
        <w:tab/>
      </w:r>
      <w:r>
        <w:rPr>
          <w:iCs/>
        </w:rPr>
        <w:t>administratorem Pani/Pana danych osobowych jest Samodzielny Publiczny Zakład Opieki Zdrowotnej Miejski Ośrodek Zdrowia w Zielonce z siedzibą przy ul. A. Mickiewicza 18, 05-220 Zielonka, NIP: 1251041592, REGON: 016180722;</w:t>
      </w:r>
    </w:p>
    <w:p>
      <w:pPr>
        <w:pStyle w:val="Normal"/>
        <w:spacing w:lineRule="auto" w:line="247" w:before="0" w:after="25"/>
        <w:ind w:left="426" w:right="76" w:hanging="426"/>
        <w:rPr>
          <w:iCs/>
        </w:rPr>
      </w:pPr>
      <w:r>
        <w:rPr>
          <w:iCs/>
        </w:rPr>
        <w:t>2)</w:t>
        <w:tab/>
        <w:t>kontakt z Inspektorem Ochrony Danych możliwy jest za pośrednictwem poczty elektronicznej, adres e-mail: iod@spzozzielonka.pl;</w:t>
      </w:r>
    </w:p>
    <w:p>
      <w:pPr>
        <w:pStyle w:val="Normal"/>
        <w:spacing w:before="0" w:after="10"/>
        <w:ind w:left="426" w:right="76" w:hanging="426"/>
        <w:rPr>
          <w:color w:val="00B0F0"/>
        </w:rPr>
      </w:pPr>
      <w:r>
        <w:rPr/>
        <w:t>3)</w:t>
        <w:tab/>
        <w:t>Pani/Pana dane osobowe przetwarzane będą na podstawie art. 6 ust. 1 lit. c</w:t>
      </w:r>
      <w:r>
        <w:rPr>
          <w:i/>
        </w:rPr>
        <w:t xml:space="preserve"> </w:t>
      </w:r>
      <w:r>
        <w:rPr/>
        <w:t>RODO w celu związanym z postępowaniem o udzielenie zamówienia publicznego pn. „Zakup oprogramowania oraz sprzętu komputerowego dla uruchomienia e-usług w SPZOZ MOZ w Zielonce  w ramach projektu „Uruchomienie e-usług w SPZOZ-MOZ w Zielonce”” prowadzonym w trybie przetargu nieograniczonego o wartości zamówienia przekraczającej kwotę określoną w przepisach wydanych na podstawie art. 11 ust.8 ustawy z dnia 29 stycznia 2004r. Prawo zamówień publicznych;</w:t>
      </w:r>
      <w:r>
        <w:rPr>
          <w:color w:val="00B0F0"/>
        </w:rPr>
        <w:t xml:space="preserve"> </w:t>
      </w:r>
    </w:p>
    <w:p>
      <w:pPr>
        <w:pStyle w:val="Normal"/>
        <w:spacing w:before="0" w:after="10"/>
        <w:ind w:left="426" w:right="76" w:hanging="426"/>
        <w:rPr/>
      </w:pPr>
      <w:r>
        <w:rPr>
          <w:color w:val="auto"/>
        </w:rPr>
        <w:t xml:space="preserve">4) </w:t>
      </w:r>
      <w:r>
        <w:rPr>
          <w:color w:val="00B0F0"/>
        </w:rPr>
        <w:tab/>
      </w:r>
      <w:r>
        <w:rPr/>
        <w:t xml:space="preserve">odbiorcami Pani/Pana danych osobowych będą osoby lub podmioty, którym udostępniona zostanie dokumentacja postępowania w oparciu o art. 8 oraz art. 96 ust. 3 ustawy z dnia 29 stycznia 2004 r. – Prawo zamówień publicznych (Dz. U. z 2019 r. poz. 1843), dalej „ustawa Pzp”;  </w:t>
      </w:r>
      <w:r>
        <w:rPr>
          <w:color w:val="00B0F0"/>
        </w:rPr>
        <w:t xml:space="preserve"> </w:t>
      </w:r>
    </w:p>
    <w:p>
      <w:pPr>
        <w:pStyle w:val="Normal"/>
        <w:spacing w:before="0" w:after="10"/>
        <w:ind w:left="427" w:right="76" w:hanging="427"/>
        <w:rPr>
          <w:color w:val="00B0F0"/>
        </w:rPr>
      </w:pPr>
      <w:r>
        <w:rPr/>
        <w:t>5)</w:t>
        <w:tab/>
        <w:t>Pani/Pana dane osobowe będą przechowywane, zgodnie z art. 97 ust. 1 ustawy Pzp, przez okres 4 lat od dnia zakończenia postępowania o udzielenie zamówienia, a jeżeli czas trwania umowy przekracza 4 lata, okres przechowywania obejmuje cały czas trwania umowy;</w:t>
      </w:r>
      <w:r>
        <w:rPr>
          <w:color w:val="00B0F0"/>
        </w:rPr>
        <w:t xml:space="preserve"> </w:t>
      </w:r>
    </w:p>
    <w:p>
      <w:pPr>
        <w:pStyle w:val="Normal"/>
        <w:spacing w:before="0" w:after="10"/>
        <w:ind w:left="427" w:right="76" w:hanging="427"/>
        <w:rPr/>
      </w:pPr>
      <w:r>
        <w:rPr/>
        <w:t>6)</w:t>
        <w:tab/>
        <w:t xml:space="preserve">obowiązek podania przez Panią/Pana danych osobowych bezpośrednio Pani/Pana dotyczących jest wymogiem ustawowym określonym w przepisach ustawy Pzp, związanym z udziałem w postępowaniu o udzielenie zamówienia publicznego; konsekwencje niepodania określonych danych wynikają z ustawy Pzp; </w:t>
      </w:r>
    </w:p>
    <w:p>
      <w:pPr>
        <w:pStyle w:val="Normal"/>
        <w:spacing w:before="0" w:after="9"/>
        <w:ind w:left="427" w:right="76" w:hanging="427"/>
        <w:rPr/>
      </w:pPr>
      <w:r>
        <w:rPr/>
        <w:t>7)</w:t>
        <w:tab/>
        <w:t xml:space="preserve">w odniesieniu do Pani/Pana danych osobowych decyzje nie będą podejmowane w sposób zautomatyzowany, stosowanie do art. 22 RODO;  </w:t>
      </w:r>
    </w:p>
    <w:p>
      <w:pPr>
        <w:pStyle w:val="Normal"/>
        <w:spacing w:before="0" w:after="9"/>
        <w:ind w:left="427" w:right="76" w:hanging="427"/>
        <w:rPr/>
      </w:pPr>
      <w:r>
        <w:rPr/>
        <w:t>8)</w:t>
        <w:tab/>
        <w:t>posiada Pani/Pan:</w:t>
      </w:r>
      <w:r>
        <w:rPr>
          <w:color w:val="00B0F0"/>
        </w:rPr>
        <w:t xml:space="preserve"> </w:t>
      </w:r>
    </w:p>
    <w:p>
      <w:pPr>
        <w:pStyle w:val="Normal"/>
        <w:spacing w:before="0" w:after="0"/>
        <w:ind w:left="851" w:right="76" w:hanging="425"/>
        <w:rPr/>
      </w:pPr>
      <w:r>
        <w:rPr>
          <w:rFonts w:eastAsia="Times New Roman" w:cs="Times New Roman" w:ascii="Times New Roman" w:hAnsi="Times New Roman"/>
        </w:rPr>
        <w:t>−</w:t>
      </w:r>
      <w:r>
        <w:rPr>
          <w:rFonts w:eastAsia="Arial" w:cs="Arial" w:ascii="Arial" w:hAnsi="Arial"/>
        </w:rPr>
        <w:t xml:space="preserve"> </w:t>
      </w:r>
      <w:r>
        <w:rPr>
          <w:rFonts w:eastAsia="Arial" w:cs="Arial" w:ascii="Arial" w:hAnsi="Arial"/>
        </w:rPr>
        <w:tab/>
      </w:r>
      <w:r>
        <w:rPr/>
        <w:t>na podstawie art. 15 RODO prawo dostępu do danych osobowych Pani/Pana dotyczących;</w:t>
      </w:r>
      <w:r>
        <w:rPr>
          <w:color w:val="00B0F0"/>
        </w:rPr>
        <w:t xml:space="preserve"> </w:t>
      </w:r>
    </w:p>
    <w:p>
      <w:pPr>
        <w:pStyle w:val="Normal"/>
        <w:spacing w:lineRule="auto" w:line="264" w:before="0" w:after="19"/>
        <w:ind w:left="851" w:right="76" w:hanging="425"/>
        <w:rPr/>
      </w:pPr>
      <w:r>
        <w:rPr>
          <w:rFonts w:eastAsia="Times New Roman" w:cs="Times New Roman" w:ascii="Times New Roman" w:hAnsi="Times New Roman"/>
        </w:rPr>
        <w:t>−</w:t>
      </w:r>
      <w:r>
        <w:rPr>
          <w:rFonts w:eastAsia="Arial" w:cs="Arial" w:ascii="Arial" w:hAnsi="Arial"/>
        </w:rPr>
        <w:t xml:space="preserve"> </w:t>
      </w:r>
      <w:r>
        <w:rPr>
          <w:rFonts w:eastAsia="Arial" w:cs="Arial" w:ascii="Arial" w:hAnsi="Arial"/>
        </w:rPr>
        <w:tab/>
      </w:r>
      <w:r>
        <w:rPr/>
        <w:t>na podstawie art. 16 RODO prawo do sprostowania Pani/Pana danych osobowych</w:t>
      </w:r>
      <w:r>
        <w:rPr>
          <w:rStyle w:val="Zakotwiczenieprzypisudolnego"/>
          <w:vertAlign w:val="superscript"/>
        </w:rPr>
        <w:footnoteReference w:id="2"/>
      </w:r>
      <w:r>
        <w:rPr/>
        <w:t xml:space="preserve">; </w:t>
      </w:r>
    </w:p>
    <w:p>
      <w:pPr>
        <w:pStyle w:val="Normal"/>
        <w:ind w:left="851" w:right="76" w:hanging="425"/>
        <w:rPr/>
      </w:pPr>
      <w:r>
        <w:rPr>
          <w:rFonts w:eastAsia="Times New Roman" w:cs="Times New Roman" w:ascii="Times New Roman" w:hAnsi="Times New Roman"/>
        </w:rPr>
        <w:t>−</w:t>
      </w:r>
      <w:r>
        <w:rPr>
          <w:rFonts w:eastAsia="Arial" w:cs="Arial" w:ascii="Arial" w:hAnsi="Arial"/>
        </w:rPr>
        <w:t xml:space="preserve"> </w:t>
      </w:r>
      <w:r>
        <w:rPr>
          <w:rFonts w:eastAsia="Arial" w:cs="Arial" w:ascii="Arial" w:hAnsi="Arial"/>
        </w:rPr>
        <w:tab/>
      </w:r>
      <w:r>
        <w:rPr/>
        <w:t>na podstawie art. 18 RODO prawo żądania od administratora ograniczenia przetwarzania danych osobowych z zastrzeżeniem przypadków, o których mowa w art. 18 ust. 2 RODO</w:t>
      </w:r>
      <w:r>
        <w:rPr>
          <w:rStyle w:val="Zakotwiczenieprzypisudolnego"/>
          <w:vertAlign w:val="superscript"/>
        </w:rPr>
        <w:footnoteReference w:id="3"/>
      </w:r>
      <w:r>
        <w:rPr/>
        <w:t xml:space="preserve">;   </w:t>
      </w:r>
    </w:p>
    <w:p>
      <w:pPr>
        <w:pStyle w:val="Normal"/>
        <w:spacing w:before="0" w:after="0"/>
        <w:ind w:left="851" w:right="76" w:hanging="425"/>
        <w:rPr/>
      </w:pPr>
      <w:r>
        <w:rPr>
          <w:rFonts w:eastAsia="Times New Roman" w:cs="Times New Roman" w:ascii="Times New Roman" w:hAnsi="Times New Roman"/>
        </w:rPr>
        <w:t>−</w:t>
      </w:r>
      <w:r>
        <w:rPr>
          <w:rFonts w:eastAsia="Arial" w:cs="Arial" w:ascii="Arial" w:hAnsi="Arial"/>
        </w:rPr>
        <w:t xml:space="preserve"> </w:t>
      </w:r>
      <w:r>
        <w:rPr>
          <w:rFonts w:eastAsia="Arial" w:cs="Arial" w:ascii="Arial" w:hAnsi="Arial"/>
        </w:rPr>
        <w:tab/>
      </w:r>
      <w:r>
        <w:rPr/>
        <w:t>prawo do wniesienia skargi do Prezesa Urzędu Ochrony Danych Osobowych, gdy uzna Pani/Pan, że przetwarzanie danych osobowych Pani/Pana dotyczących narusza przepisy RODO;</w:t>
      </w:r>
      <w:r>
        <w:rPr>
          <w:i/>
          <w:color w:val="00B0F0"/>
        </w:rPr>
        <w:t xml:space="preserve"> </w:t>
      </w:r>
    </w:p>
    <w:p>
      <w:pPr>
        <w:pStyle w:val="Normal"/>
        <w:spacing w:before="0" w:after="5"/>
        <w:ind w:left="426" w:right="76" w:hanging="426"/>
        <w:rPr/>
      </w:pPr>
      <w:r>
        <w:rPr/>
        <w:t>9)</w:t>
        <w:tab/>
        <w:t>nie przysługuje Pani/Panu:</w:t>
      </w:r>
      <w:r>
        <w:rPr>
          <w:i/>
          <w:color w:val="00B0F0"/>
        </w:rPr>
        <w:t xml:space="preserve"> </w:t>
      </w:r>
    </w:p>
    <w:p>
      <w:pPr>
        <w:pStyle w:val="Normal"/>
        <w:spacing w:before="0" w:after="7"/>
        <w:ind w:left="851" w:right="76" w:hanging="425"/>
        <w:rPr/>
      </w:pPr>
      <w:r>
        <w:rPr>
          <w:rFonts w:eastAsia="Times New Roman" w:cs="Times New Roman" w:ascii="Times New Roman" w:hAnsi="Times New Roman"/>
        </w:rPr>
        <w:t>−</w:t>
      </w:r>
      <w:r>
        <w:rPr>
          <w:rFonts w:eastAsia="Arial" w:cs="Arial" w:ascii="Arial" w:hAnsi="Arial"/>
        </w:rPr>
        <w:t xml:space="preserve"> </w:t>
      </w:r>
      <w:r>
        <w:rPr>
          <w:rFonts w:eastAsia="Arial" w:cs="Arial" w:ascii="Arial" w:hAnsi="Arial"/>
        </w:rPr>
        <w:tab/>
      </w:r>
      <w:r>
        <w:rPr/>
        <w:t>w związku z art. 17 ust. 3 lit. b, d lub e RODO prawo do usunięcia danych osobowych;</w:t>
      </w:r>
      <w:r>
        <w:rPr>
          <w:i/>
          <w:color w:val="00B0F0"/>
        </w:rPr>
        <w:t xml:space="preserve"> </w:t>
      </w:r>
    </w:p>
    <w:p>
      <w:pPr>
        <w:pStyle w:val="Normal"/>
        <w:spacing w:before="0" w:after="7"/>
        <w:ind w:left="851" w:right="76" w:hanging="425"/>
        <w:rPr/>
      </w:pPr>
      <w:r>
        <w:rPr>
          <w:rFonts w:eastAsia="Times New Roman" w:cs="Times New Roman" w:ascii="Times New Roman" w:hAnsi="Times New Roman"/>
        </w:rPr>
        <w:t>−</w:t>
      </w:r>
      <w:r>
        <w:rPr>
          <w:rFonts w:eastAsia="Arial" w:cs="Arial" w:ascii="Arial" w:hAnsi="Arial"/>
        </w:rPr>
        <w:t xml:space="preserve"> </w:t>
      </w:r>
      <w:r>
        <w:rPr>
          <w:rFonts w:eastAsia="Arial" w:cs="Arial" w:ascii="Arial" w:hAnsi="Arial"/>
        </w:rPr>
        <w:tab/>
      </w:r>
      <w:r>
        <w:rPr/>
        <w:t>prawo do przenoszenia danych osobowych, o którym mowa w art. 20 RODO;</w:t>
      </w:r>
      <w:r>
        <w:rPr>
          <w:b/>
          <w:i/>
        </w:rPr>
        <w:t xml:space="preserve"> </w:t>
      </w:r>
    </w:p>
    <w:p>
      <w:pPr>
        <w:pStyle w:val="Normal"/>
        <w:spacing w:lineRule="auto" w:line="264" w:before="0" w:after="0"/>
        <w:ind w:left="850" w:right="74" w:hanging="425"/>
        <w:rPr>
          <w:b/>
          <w:b/>
          <w:i/>
          <w:i/>
        </w:rPr>
      </w:pPr>
      <w:r>
        <w:rPr>
          <w:rFonts w:eastAsia="Times New Roman" w:cs="Times New Roman" w:ascii="Times New Roman" w:hAnsi="Times New Roman"/>
        </w:rPr>
        <w:t>−</w:t>
      </w:r>
      <w:r>
        <w:rPr>
          <w:rFonts w:eastAsia="Arial" w:cs="Arial" w:ascii="Arial" w:hAnsi="Arial"/>
        </w:rPr>
        <w:t xml:space="preserve"> </w:t>
      </w:r>
      <w:r>
        <w:rPr>
          <w:rFonts w:eastAsia="Arial" w:cs="Arial" w:ascii="Arial" w:hAnsi="Arial"/>
        </w:rPr>
        <w:tab/>
      </w:r>
      <w:r>
        <w:rPr>
          <w:bCs/>
        </w:rPr>
        <w:t>na podstawie art. 21 RODO prawo sprzeciwu, wobec przetwarzania danych osobowych, gdyż podstawą prawną przetwarzania Pani/Pana danych osobowych jest art. 6 ust. 1 lit. c RODO.</w:t>
      </w:r>
      <w:r>
        <w:rPr>
          <w:b/>
        </w:rPr>
        <w:t xml:space="preserve"> </w:t>
      </w:r>
      <w:r>
        <w:rPr>
          <w:b/>
          <w:i/>
        </w:rPr>
        <w:t xml:space="preserve"> </w:t>
      </w:r>
    </w:p>
    <w:p>
      <w:pPr>
        <w:pStyle w:val="Normal"/>
        <w:spacing w:before="0" w:after="212"/>
        <w:ind w:left="7" w:right="76" w:hanging="10"/>
        <w:rPr/>
      </w:pPr>
      <w:r>
        <w:rPr/>
      </w:r>
    </w:p>
    <w:p>
      <w:pPr>
        <w:pStyle w:val="Nagwek1"/>
        <w:numPr>
          <w:ilvl w:val="0"/>
          <w:numId w:val="11"/>
        </w:numPr>
        <w:shd w:val="clear" w:fill="F7CAAC"/>
        <w:ind w:left="426" w:right="4000" w:hanging="426"/>
        <w:rPr/>
      </w:pPr>
      <w:bookmarkStart w:id="28" w:name="_Toc38874130"/>
      <w:r>
        <w:rPr/>
        <w:t>Wykaz załączników do SIWZ</w:t>
      </w:r>
      <w:bookmarkEnd w:id="28"/>
    </w:p>
    <w:p>
      <w:pPr>
        <w:pStyle w:val="Normal"/>
        <w:spacing w:before="0" w:after="0"/>
        <w:ind w:left="7" w:right="76" w:hanging="10"/>
        <w:rPr/>
      </w:pPr>
      <w:r>
        <w:rPr/>
        <w:t xml:space="preserve">Załącznikami do niniejszej SIWZ są następujące dokumenty: </w:t>
      </w:r>
    </w:p>
    <w:tbl>
      <w:tblPr>
        <w:tblStyle w:val="TableGrid"/>
        <w:tblW w:w="9338" w:type="dxa"/>
        <w:jc w:val="left"/>
        <w:tblInd w:w="7" w:type="dxa"/>
        <w:tblCellMar>
          <w:top w:w="38" w:type="dxa"/>
          <w:left w:w="70" w:type="dxa"/>
          <w:bottom w:w="0" w:type="dxa"/>
          <w:right w:w="35" w:type="dxa"/>
        </w:tblCellMar>
        <w:tblLook w:firstRow="1" w:noVBand="1" w:lastRow="0" w:firstColumn="1" w:lastColumn="0" w:noHBand="0" w:val="04a0"/>
      </w:tblPr>
      <w:tblGrid>
        <w:gridCol w:w="608"/>
        <w:gridCol w:w="1510"/>
        <w:gridCol w:w="7220"/>
      </w:tblGrid>
      <w:tr>
        <w:trPr>
          <w:trHeight w:val="500" w:hRule="atLeast"/>
        </w:trPr>
        <w:tc>
          <w:tcPr>
            <w:tcW w:w="608" w:type="dxa"/>
            <w:tcBorders>
              <w:top w:val="single" w:sz="4" w:space="0" w:color="000000"/>
              <w:left w:val="single" w:sz="4" w:space="0" w:color="000000"/>
              <w:bottom w:val="single" w:sz="4" w:space="0" w:color="000000"/>
              <w:right w:val="single" w:sz="4" w:space="0" w:color="000000"/>
            </w:tcBorders>
          </w:tcPr>
          <w:p>
            <w:pPr>
              <w:pStyle w:val="Normal"/>
              <w:spacing w:lineRule="auto" w:line="259" w:before="0" w:after="0"/>
              <w:ind w:left="0" w:right="76" w:hanging="0"/>
              <w:jc w:val="center"/>
              <w:rPr/>
            </w:pPr>
            <w:r>
              <w:rPr>
                <w:b/>
                <w:sz w:val="20"/>
              </w:rPr>
              <w:t xml:space="preserve">Lp. </w:t>
            </w:r>
          </w:p>
        </w:tc>
        <w:tc>
          <w:tcPr>
            <w:tcW w:w="1510" w:type="dxa"/>
            <w:tcBorders>
              <w:top w:val="single" w:sz="4" w:space="0" w:color="000000"/>
              <w:left w:val="single" w:sz="4" w:space="0" w:color="000000"/>
              <w:bottom w:val="single" w:sz="4" w:space="0" w:color="000000"/>
              <w:right w:val="single" w:sz="4" w:space="0" w:color="000000"/>
            </w:tcBorders>
          </w:tcPr>
          <w:p>
            <w:pPr>
              <w:pStyle w:val="Normal"/>
              <w:spacing w:lineRule="auto" w:line="259" w:before="0" w:after="0"/>
              <w:ind w:left="0" w:right="76" w:hanging="0"/>
              <w:jc w:val="center"/>
              <w:rPr/>
            </w:pPr>
            <w:r>
              <w:rPr>
                <w:b/>
                <w:sz w:val="20"/>
              </w:rPr>
              <w:t xml:space="preserve">Oznaczenie Załącznika </w:t>
            </w:r>
          </w:p>
        </w:tc>
        <w:tc>
          <w:tcPr>
            <w:tcW w:w="7220" w:type="dxa"/>
            <w:tcBorders>
              <w:top w:val="single" w:sz="4" w:space="0" w:color="000000"/>
              <w:left w:val="single" w:sz="4" w:space="0" w:color="000000"/>
              <w:bottom w:val="single" w:sz="4" w:space="0" w:color="000000"/>
              <w:right w:val="single" w:sz="4" w:space="0" w:color="000000"/>
            </w:tcBorders>
          </w:tcPr>
          <w:p>
            <w:pPr>
              <w:pStyle w:val="Normal"/>
              <w:spacing w:lineRule="auto" w:line="259" w:before="0" w:after="0"/>
              <w:ind w:left="0" w:right="76" w:hanging="0"/>
              <w:jc w:val="center"/>
              <w:rPr/>
            </w:pPr>
            <w:r>
              <w:rPr>
                <w:b/>
                <w:sz w:val="20"/>
              </w:rPr>
              <w:t xml:space="preserve">Nazwa Załącznika </w:t>
            </w:r>
          </w:p>
        </w:tc>
      </w:tr>
      <w:tr>
        <w:trPr>
          <w:trHeight w:val="252" w:hRule="atLeast"/>
        </w:trPr>
        <w:tc>
          <w:tcPr>
            <w:tcW w:w="608" w:type="dxa"/>
            <w:tcBorders>
              <w:top w:val="single" w:sz="4" w:space="0" w:color="000000"/>
              <w:left w:val="single" w:sz="4" w:space="0" w:color="000000"/>
              <w:bottom w:val="single" w:sz="4" w:space="0" w:color="000000"/>
              <w:right w:val="single" w:sz="4" w:space="0" w:color="000000"/>
            </w:tcBorders>
          </w:tcPr>
          <w:p>
            <w:pPr>
              <w:pStyle w:val="Normal"/>
              <w:spacing w:lineRule="auto" w:line="259" w:before="0" w:after="0"/>
              <w:ind w:left="0" w:right="76" w:hanging="0"/>
              <w:jc w:val="left"/>
              <w:rPr/>
            </w:pPr>
            <w:r>
              <w:rPr>
                <w:sz w:val="20"/>
              </w:rPr>
              <w:t>1.</w:t>
            </w:r>
            <w:r>
              <w:rPr>
                <w:rFonts w:eastAsia="Arial" w:cs="Arial" w:ascii="Arial" w:hAnsi="Arial"/>
                <w:sz w:val="20"/>
              </w:rPr>
              <w:t xml:space="preserve"> </w:t>
            </w:r>
            <w:r>
              <w:rPr>
                <w:sz w:val="20"/>
              </w:rPr>
              <w:t xml:space="preserve"> </w:t>
            </w:r>
          </w:p>
        </w:tc>
        <w:tc>
          <w:tcPr>
            <w:tcW w:w="1510" w:type="dxa"/>
            <w:tcBorders>
              <w:top w:val="single" w:sz="4" w:space="0" w:color="000000"/>
              <w:left w:val="single" w:sz="4" w:space="0" w:color="000000"/>
              <w:bottom w:val="single" w:sz="4" w:space="0" w:color="000000"/>
              <w:right w:val="single" w:sz="4" w:space="0" w:color="000000"/>
            </w:tcBorders>
          </w:tcPr>
          <w:p>
            <w:pPr>
              <w:pStyle w:val="Normal"/>
              <w:spacing w:lineRule="auto" w:line="259" w:before="0" w:after="0"/>
              <w:ind w:left="0" w:right="76" w:hanging="0"/>
              <w:jc w:val="left"/>
              <w:rPr/>
            </w:pPr>
            <w:r>
              <w:rPr>
                <w:sz w:val="20"/>
              </w:rPr>
              <w:t xml:space="preserve">Załącznik nr 1 </w:t>
            </w:r>
          </w:p>
        </w:tc>
        <w:tc>
          <w:tcPr>
            <w:tcW w:w="7220" w:type="dxa"/>
            <w:tcBorders>
              <w:top w:val="single" w:sz="4" w:space="0" w:color="000000"/>
              <w:left w:val="single" w:sz="4" w:space="0" w:color="000000"/>
              <w:bottom w:val="single" w:sz="4" w:space="0" w:color="000000"/>
              <w:right w:val="single" w:sz="4" w:space="0" w:color="000000"/>
            </w:tcBorders>
          </w:tcPr>
          <w:p>
            <w:pPr>
              <w:pStyle w:val="Normal"/>
              <w:spacing w:lineRule="auto" w:line="259" w:before="0" w:after="0"/>
              <w:ind w:left="0" w:right="76" w:hanging="0"/>
              <w:jc w:val="left"/>
              <w:rPr/>
            </w:pPr>
            <w:r>
              <w:rPr>
                <w:sz w:val="20"/>
              </w:rPr>
              <w:t xml:space="preserve">Opis Przedmiotu Zamówienia </w:t>
            </w:r>
          </w:p>
        </w:tc>
      </w:tr>
      <w:tr>
        <w:trPr>
          <w:trHeight w:val="254" w:hRule="atLeast"/>
        </w:trPr>
        <w:tc>
          <w:tcPr>
            <w:tcW w:w="608" w:type="dxa"/>
            <w:tcBorders>
              <w:top w:val="single" w:sz="4" w:space="0" w:color="000000"/>
              <w:left w:val="single" w:sz="4" w:space="0" w:color="000000"/>
              <w:bottom w:val="single" w:sz="4" w:space="0" w:color="000000"/>
              <w:right w:val="single" w:sz="4" w:space="0" w:color="000000"/>
            </w:tcBorders>
          </w:tcPr>
          <w:p>
            <w:pPr>
              <w:pStyle w:val="Normal"/>
              <w:spacing w:lineRule="auto" w:line="259" w:before="0" w:after="0"/>
              <w:ind w:left="0" w:right="76" w:hanging="0"/>
              <w:jc w:val="left"/>
              <w:rPr/>
            </w:pPr>
            <w:r>
              <w:rPr>
                <w:sz w:val="20"/>
              </w:rPr>
              <w:t>2.</w:t>
            </w:r>
            <w:r>
              <w:rPr>
                <w:rFonts w:eastAsia="Arial" w:cs="Arial" w:ascii="Arial" w:hAnsi="Arial"/>
                <w:sz w:val="20"/>
              </w:rPr>
              <w:t xml:space="preserve"> </w:t>
            </w:r>
            <w:r>
              <w:rPr>
                <w:sz w:val="20"/>
              </w:rPr>
              <w:t xml:space="preserve"> </w:t>
            </w:r>
          </w:p>
        </w:tc>
        <w:tc>
          <w:tcPr>
            <w:tcW w:w="1510" w:type="dxa"/>
            <w:tcBorders>
              <w:top w:val="single" w:sz="4" w:space="0" w:color="000000"/>
              <w:left w:val="single" w:sz="4" w:space="0" w:color="000000"/>
              <w:bottom w:val="single" w:sz="4" w:space="0" w:color="000000"/>
              <w:right w:val="single" w:sz="4" w:space="0" w:color="000000"/>
            </w:tcBorders>
          </w:tcPr>
          <w:p>
            <w:pPr>
              <w:pStyle w:val="Normal"/>
              <w:spacing w:lineRule="auto" w:line="259" w:before="0" w:after="0"/>
              <w:ind w:left="0" w:right="76" w:hanging="0"/>
              <w:jc w:val="left"/>
              <w:rPr/>
            </w:pPr>
            <w:r>
              <w:rPr>
                <w:sz w:val="20"/>
              </w:rPr>
              <w:t xml:space="preserve">Załącznik nr 2 </w:t>
            </w:r>
          </w:p>
        </w:tc>
        <w:tc>
          <w:tcPr>
            <w:tcW w:w="7220" w:type="dxa"/>
            <w:tcBorders>
              <w:top w:val="single" w:sz="4" w:space="0" w:color="000000"/>
              <w:left w:val="single" w:sz="4" w:space="0" w:color="000000"/>
              <w:bottom w:val="single" w:sz="4" w:space="0" w:color="000000"/>
              <w:right w:val="single" w:sz="4" w:space="0" w:color="000000"/>
            </w:tcBorders>
          </w:tcPr>
          <w:p>
            <w:pPr>
              <w:pStyle w:val="Normal"/>
              <w:spacing w:lineRule="auto" w:line="259" w:before="0" w:after="0"/>
              <w:ind w:left="0" w:right="76" w:hanging="0"/>
              <w:jc w:val="left"/>
              <w:rPr/>
            </w:pPr>
            <w:r>
              <w:rPr>
                <w:sz w:val="20"/>
              </w:rPr>
              <w:t xml:space="preserve">Formularz ofertowy </w:t>
            </w:r>
          </w:p>
        </w:tc>
      </w:tr>
      <w:tr>
        <w:trPr>
          <w:trHeight w:val="254" w:hRule="atLeast"/>
        </w:trPr>
        <w:tc>
          <w:tcPr>
            <w:tcW w:w="608" w:type="dxa"/>
            <w:tcBorders>
              <w:top w:val="single" w:sz="4" w:space="0" w:color="000000"/>
              <w:left w:val="single" w:sz="4" w:space="0" w:color="000000"/>
              <w:bottom w:val="single" w:sz="4" w:space="0" w:color="000000"/>
              <w:right w:val="single" w:sz="4" w:space="0" w:color="000000"/>
            </w:tcBorders>
          </w:tcPr>
          <w:p>
            <w:pPr>
              <w:pStyle w:val="Normal"/>
              <w:spacing w:lineRule="auto" w:line="259" w:before="0" w:after="0"/>
              <w:ind w:left="0" w:right="76" w:hanging="0"/>
              <w:jc w:val="left"/>
              <w:rPr/>
            </w:pPr>
            <w:r>
              <w:rPr>
                <w:sz w:val="20"/>
              </w:rPr>
              <w:t>3.</w:t>
            </w:r>
            <w:r>
              <w:rPr>
                <w:rFonts w:eastAsia="Arial" w:cs="Arial" w:ascii="Arial" w:hAnsi="Arial"/>
                <w:sz w:val="20"/>
              </w:rPr>
              <w:t xml:space="preserve"> </w:t>
            </w:r>
            <w:r>
              <w:rPr>
                <w:sz w:val="20"/>
              </w:rPr>
              <w:t xml:space="preserve"> </w:t>
            </w:r>
          </w:p>
        </w:tc>
        <w:tc>
          <w:tcPr>
            <w:tcW w:w="1510" w:type="dxa"/>
            <w:tcBorders>
              <w:top w:val="single" w:sz="4" w:space="0" w:color="000000"/>
              <w:left w:val="single" w:sz="4" w:space="0" w:color="000000"/>
              <w:bottom w:val="single" w:sz="4" w:space="0" w:color="000000"/>
              <w:right w:val="single" w:sz="4" w:space="0" w:color="000000"/>
            </w:tcBorders>
          </w:tcPr>
          <w:p>
            <w:pPr>
              <w:pStyle w:val="Normal"/>
              <w:spacing w:lineRule="auto" w:line="259" w:before="0" w:after="0"/>
              <w:ind w:left="0" w:right="76" w:hanging="0"/>
              <w:jc w:val="left"/>
              <w:rPr/>
            </w:pPr>
            <w:r>
              <w:rPr>
                <w:sz w:val="20"/>
              </w:rPr>
              <w:t xml:space="preserve">Załącznik nr 3 </w:t>
            </w:r>
          </w:p>
        </w:tc>
        <w:tc>
          <w:tcPr>
            <w:tcW w:w="7220" w:type="dxa"/>
            <w:tcBorders>
              <w:top w:val="single" w:sz="4" w:space="0" w:color="000000"/>
              <w:left w:val="single" w:sz="4" w:space="0" w:color="000000"/>
              <w:bottom w:val="single" w:sz="4" w:space="0" w:color="000000"/>
              <w:right w:val="single" w:sz="4" w:space="0" w:color="000000"/>
            </w:tcBorders>
          </w:tcPr>
          <w:p>
            <w:pPr>
              <w:pStyle w:val="Normal"/>
              <w:spacing w:lineRule="auto" w:line="259" w:before="0" w:after="0"/>
              <w:ind w:left="0" w:right="76" w:hanging="0"/>
              <w:jc w:val="left"/>
              <w:rPr/>
            </w:pPr>
            <w:r>
              <w:rPr>
                <w:sz w:val="20"/>
              </w:rPr>
              <w:t xml:space="preserve">Formularz – opis przedmiotu oferty </w:t>
            </w:r>
          </w:p>
        </w:tc>
      </w:tr>
      <w:tr>
        <w:trPr>
          <w:trHeight w:val="254" w:hRule="atLeast"/>
        </w:trPr>
        <w:tc>
          <w:tcPr>
            <w:tcW w:w="608" w:type="dxa"/>
            <w:tcBorders>
              <w:top w:val="single" w:sz="4" w:space="0" w:color="000000"/>
              <w:left w:val="single" w:sz="4" w:space="0" w:color="000000"/>
              <w:bottom w:val="single" w:sz="4" w:space="0" w:color="000000"/>
              <w:right w:val="single" w:sz="4" w:space="0" w:color="000000"/>
            </w:tcBorders>
          </w:tcPr>
          <w:p>
            <w:pPr>
              <w:pStyle w:val="Normal"/>
              <w:spacing w:lineRule="auto" w:line="259" w:before="0" w:after="0"/>
              <w:ind w:left="0" w:right="76" w:hanging="0"/>
              <w:jc w:val="left"/>
              <w:rPr/>
            </w:pPr>
            <w:r>
              <w:rPr>
                <w:sz w:val="20"/>
              </w:rPr>
              <w:t>4.</w:t>
            </w:r>
            <w:r>
              <w:rPr>
                <w:rFonts w:eastAsia="Arial" w:cs="Arial" w:ascii="Arial" w:hAnsi="Arial"/>
                <w:sz w:val="20"/>
              </w:rPr>
              <w:t xml:space="preserve"> </w:t>
            </w:r>
            <w:r>
              <w:rPr>
                <w:sz w:val="20"/>
              </w:rPr>
              <w:t xml:space="preserve"> </w:t>
            </w:r>
          </w:p>
        </w:tc>
        <w:tc>
          <w:tcPr>
            <w:tcW w:w="1510" w:type="dxa"/>
            <w:tcBorders>
              <w:top w:val="single" w:sz="4" w:space="0" w:color="000000"/>
              <w:left w:val="single" w:sz="4" w:space="0" w:color="000000"/>
              <w:bottom w:val="single" w:sz="4" w:space="0" w:color="000000"/>
              <w:right w:val="single" w:sz="4" w:space="0" w:color="000000"/>
            </w:tcBorders>
          </w:tcPr>
          <w:p>
            <w:pPr>
              <w:pStyle w:val="Normal"/>
              <w:spacing w:lineRule="auto" w:line="259" w:before="0" w:after="0"/>
              <w:ind w:left="0" w:right="76" w:hanging="0"/>
              <w:jc w:val="left"/>
              <w:rPr/>
            </w:pPr>
            <w:r>
              <w:rPr>
                <w:sz w:val="20"/>
              </w:rPr>
              <w:t xml:space="preserve">Załącznik nr 4 </w:t>
            </w:r>
          </w:p>
        </w:tc>
        <w:tc>
          <w:tcPr>
            <w:tcW w:w="7220" w:type="dxa"/>
            <w:tcBorders>
              <w:top w:val="single" w:sz="4" w:space="0" w:color="000000"/>
              <w:left w:val="single" w:sz="4" w:space="0" w:color="000000"/>
              <w:bottom w:val="single" w:sz="4" w:space="0" w:color="000000"/>
              <w:right w:val="single" w:sz="4" w:space="0" w:color="000000"/>
            </w:tcBorders>
          </w:tcPr>
          <w:p>
            <w:pPr>
              <w:pStyle w:val="Normal"/>
              <w:spacing w:lineRule="auto" w:line="259" w:before="0" w:after="0"/>
              <w:ind w:left="0" w:right="76" w:hanging="0"/>
              <w:jc w:val="left"/>
              <w:rPr/>
            </w:pPr>
            <w:r>
              <w:rPr>
                <w:sz w:val="20"/>
              </w:rPr>
              <w:t xml:space="preserve">Wzór umowy  </w:t>
            </w:r>
          </w:p>
        </w:tc>
      </w:tr>
      <w:tr>
        <w:trPr>
          <w:trHeight w:val="254" w:hRule="atLeast"/>
        </w:trPr>
        <w:tc>
          <w:tcPr>
            <w:tcW w:w="608" w:type="dxa"/>
            <w:tcBorders>
              <w:top w:val="single" w:sz="4" w:space="0" w:color="000000"/>
              <w:left w:val="single" w:sz="4" w:space="0" w:color="000000"/>
              <w:bottom w:val="single" w:sz="4" w:space="0" w:color="000000"/>
              <w:right w:val="single" w:sz="4" w:space="0" w:color="000000"/>
            </w:tcBorders>
          </w:tcPr>
          <w:p>
            <w:pPr>
              <w:pStyle w:val="Normal"/>
              <w:spacing w:lineRule="auto" w:line="259" w:before="0" w:after="0"/>
              <w:ind w:left="0" w:right="76" w:hanging="0"/>
              <w:jc w:val="left"/>
              <w:rPr/>
            </w:pPr>
            <w:r>
              <w:rPr>
                <w:sz w:val="20"/>
              </w:rPr>
              <w:t>5.</w:t>
            </w:r>
            <w:r>
              <w:rPr>
                <w:rFonts w:eastAsia="Arial" w:cs="Arial" w:ascii="Arial" w:hAnsi="Arial"/>
                <w:sz w:val="20"/>
              </w:rPr>
              <w:t xml:space="preserve"> </w:t>
            </w:r>
            <w:r>
              <w:rPr>
                <w:sz w:val="20"/>
              </w:rPr>
              <w:t xml:space="preserve"> </w:t>
            </w:r>
          </w:p>
        </w:tc>
        <w:tc>
          <w:tcPr>
            <w:tcW w:w="1510" w:type="dxa"/>
            <w:tcBorders>
              <w:top w:val="single" w:sz="4" w:space="0" w:color="000000"/>
              <w:left w:val="single" w:sz="4" w:space="0" w:color="000000"/>
              <w:bottom w:val="single" w:sz="4" w:space="0" w:color="000000"/>
              <w:right w:val="single" w:sz="4" w:space="0" w:color="000000"/>
            </w:tcBorders>
          </w:tcPr>
          <w:p>
            <w:pPr>
              <w:pStyle w:val="Normal"/>
              <w:spacing w:lineRule="auto" w:line="259" w:before="0" w:after="0"/>
              <w:ind w:left="0" w:right="76" w:hanging="0"/>
              <w:jc w:val="left"/>
              <w:rPr/>
            </w:pPr>
            <w:r>
              <w:rPr>
                <w:sz w:val="20"/>
              </w:rPr>
              <w:t xml:space="preserve">Załącznik nr 5 </w:t>
            </w:r>
          </w:p>
        </w:tc>
        <w:tc>
          <w:tcPr>
            <w:tcW w:w="7220" w:type="dxa"/>
            <w:tcBorders>
              <w:top w:val="single" w:sz="4" w:space="0" w:color="000000"/>
              <w:left w:val="single" w:sz="4" w:space="0" w:color="000000"/>
              <w:bottom w:val="single" w:sz="4" w:space="0" w:color="000000"/>
              <w:right w:val="single" w:sz="4" w:space="0" w:color="000000"/>
            </w:tcBorders>
          </w:tcPr>
          <w:p>
            <w:pPr>
              <w:pStyle w:val="Normal"/>
              <w:spacing w:lineRule="auto" w:line="259" w:before="0" w:after="0"/>
              <w:ind w:left="0" w:right="76" w:hanging="0"/>
              <w:jc w:val="left"/>
              <w:rPr/>
            </w:pPr>
            <w:r>
              <w:rPr>
                <w:sz w:val="20"/>
              </w:rPr>
              <w:t>Wykaz wykonanych dostaw</w:t>
            </w:r>
          </w:p>
        </w:tc>
      </w:tr>
      <w:tr>
        <w:trPr>
          <w:trHeight w:val="254" w:hRule="atLeast"/>
        </w:trPr>
        <w:tc>
          <w:tcPr>
            <w:tcW w:w="608" w:type="dxa"/>
            <w:tcBorders>
              <w:top w:val="single" w:sz="4" w:space="0" w:color="000000"/>
              <w:left w:val="single" w:sz="4" w:space="0" w:color="000000"/>
              <w:bottom w:val="single" w:sz="4" w:space="0" w:color="000000"/>
              <w:right w:val="single" w:sz="4" w:space="0" w:color="000000"/>
            </w:tcBorders>
          </w:tcPr>
          <w:p>
            <w:pPr>
              <w:pStyle w:val="Normal"/>
              <w:spacing w:lineRule="auto" w:line="259" w:before="0" w:after="0"/>
              <w:ind w:left="0" w:right="76" w:hanging="0"/>
              <w:jc w:val="left"/>
              <w:rPr/>
            </w:pPr>
            <w:r>
              <w:rPr>
                <w:sz w:val="20"/>
              </w:rPr>
              <w:t>6.</w:t>
            </w:r>
            <w:r>
              <w:rPr>
                <w:rFonts w:eastAsia="Arial" w:cs="Arial" w:ascii="Arial" w:hAnsi="Arial"/>
                <w:sz w:val="20"/>
              </w:rPr>
              <w:t xml:space="preserve"> </w:t>
            </w:r>
            <w:r>
              <w:rPr>
                <w:sz w:val="20"/>
              </w:rPr>
              <w:t xml:space="preserve"> </w:t>
            </w:r>
          </w:p>
        </w:tc>
        <w:tc>
          <w:tcPr>
            <w:tcW w:w="1510" w:type="dxa"/>
            <w:tcBorders>
              <w:top w:val="single" w:sz="4" w:space="0" w:color="000000"/>
              <w:left w:val="single" w:sz="4" w:space="0" w:color="000000"/>
              <w:bottom w:val="single" w:sz="4" w:space="0" w:color="000000"/>
              <w:right w:val="single" w:sz="4" w:space="0" w:color="000000"/>
            </w:tcBorders>
          </w:tcPr>
          <w:p>
            <w:pPr>
              <w:pStyle w:val="Normal"/>
              <w:spacing w:lineRule="auto" w:line="259" w:before="0" w:after="0"/>
              <w:ind w:left="0" w:right="76" w:hanging="0"/>
              <w:jc w:val="left"/>
              <w:rPr/>
            </w:pPr>
            <w:r>
              <w:rPr>
                <w:sz w:val="20"/>
              </w:rPr>
              <w:t>Załącznik nr 6</w:t>
            </w:r>
          </w:p>
        </w:tc>
        <w:tc>
          <w:tcPr>
            <w:tcW w:w="7220" w:type="dxa"/>
            <w:tcBorders>
              <w:top w:val="single" w:sz="4" w:space="0" w:color="000000"/>
              <w:left w:val="single" w:sz="4" w:space="0" w:color="000000"/>
              <w:bottom w:val="single" w:sz="4" w:space="0" w:color="000000"/>
              <w:right w:val="single" w:sz="4" w:space="0" w:color="000000"/>
            </w:tcBorders>
          </w:tcPr>
          <w:p>
            <w:pPr>
              <w:pStyle w:val="Normal"/>
              <w:spacing w:lineRule="auto" w:line="259" w:before="0" w:after="0"/>
              <w:ind w:left="0" w:right="76" w:hanging="0"/>
              <w:jc w:val="left"/>
              <w:rPr/>
            </w:pPr>
            <w:r>
              <w:rPr>
                <w:sz w:val="20"/>
              </w:rPr>
              <w:t xml:space="preserve">Oświadczenie o przynależności do grupy kapitałowej </w:t>
            </w:r>
          </w:p>
        </w:tc>
      </w:tr>
      <w:tr>
        <w:trPr>
          <w:trHeight w:val="254" w:hRule="atLeast"/>
        </w:trPr>
        <w:tc>
          <w:tcPr>
            <w:tcW w:w="608" w:type="dxa"/>
            <w:tcBorders>
              <w:top w:val="single" w:sz="4" w:space="0" w:color="000000"/>
              <w:left w:val="single" w:sz="4" w:space="0" w:color="000000"/>
              <w:bottom w:val="single" w:sz="4" w:space="0" w:color="000000"/>
              <w:right w:val="single" w:sz="4" w:space="0" w:color="000000"/>
            </w:tcBorders>
          </w:tcPr>
          <w:p>
            <w:pPr>
              <w:pStyle w:val="Normal"/>
              <w:spacing w:lineRule="auto" w:line="259" w:before="0" w:after="0"/>
              <w:ind w:left="0" w:right="76" w:hanging="0"/>
              <w:jc w:val="left"/>
              <w:rPr/>
            </w:pPr>
            <w:r>
              <w:rPr>
                <w:sz w:val="20"/>
              </w:rPr>
              <w:t>7.</w:t>
            </w:r>
            <w:r>
              <w:rPr>
                <w:rFonts w:eastAsia="Arial" w:cs="Arial" w:ascii="Arial" w:hAnsi="Arial"/>
                <w:sz w:val="20"/>
              </w:rPr>
              <w:t xml:space="preserve"> </w:t>
            </w:r>
            <w:r>
              <w:rPr>
                <w:sz w:val="20"/>
              </w:rPr>
              <w:t xml:space="preserve"> </w:t>
            </w:r>
          </w:p>
        </w:tc>
        <w:tc>
          <w:tcPr>
            <w:tcW w:w="1510" w:type="dxa"/>
            <w:tcBorders>
              <w:top w:val="single" w:sz="4" w:space="0" w:color="000000"/>
              <w:left w:val="single" w:sz="4" w:space="0" w:color="000000"/>
              <w:bottom w:val="single" w:sz="4" w:space="0" w:color="000000"/>
              <w:right w:val="single" w:sz="4" w:space="0" w:color="000000"/>
            </w:tcBorders>
          </w:tcPr>
          <w:p>
            <w:pPr>
              <w:pStyle w:val="Normal"/>
              <w:spacing w:lineRule="auto" w:line="259" w:before="0" w:after="0"/>
              <w:ind w:left="0" w:right="76" w:hanging="0"/>
              <w:jc w:val="left"/>
              <w:rPr/>
            </w:pPr>
            <w:r>
              <w:rPr>
                <w:sz w:val="20"/>
              </w:rPr>
              <w:t xml:space="preserve">Załącznik nr 7 </w:t>
            </w:r>
          </w:p>
        </w:tc>
        <w:tc>
          <w:tcPr>
            <w:tcW w:w="7220" w:type="dxa"/>
            <w:tcBorders>
              <w:top w:val="single" w:sz="4" w:space="0" w:color="000000"/>
              <w:left w:val="single" w:sz="4" w:space="0" w:color="000000"/>
              <w:bottom w:val="single" w:sz="4" w:space="0" w:color="000000"/>
              <w:right w:val="single" w:sz="4" w:space="0" w:color="000000"/>
            </w:tcBorders>
          </w:tcPr>
          <w:p>
            <w:pPr>
              <w:pStyle w:val="Normal"/>
              <w:spacing w:lineRule="auto" w:line="259" w:before="0" w:after="0"/>
              <w:ind w:left="0" w:right="76" w:hanging="0"/>
              <w:jc w:val="left"/>
              <w:rPr/>
            </w:pPr>
            <w:r>
              <w:rPr>
                <w:sz w:val="20"/>
              </w:rPr>
              <w:t xml:space="preserve">Oświadczenie w formie Jednolitego Europejskiego Dokumentu Zamówienia </w:t>
            </w:r>
          </w:p>
        </w:tc>
      </w:tr>
      <w:tr>
        <w:trPr>
          <w:trHeight w:val="497" w:hRule="atLeast"/>
        </w:trPr>
        <w:tc>
          <w:tcPr>
            <w:tcW w:w="608" w:type="dxa"/>
            <w:tcBorders>
              <w:top w:val="single" w:sz="4" w:space="0" w:color="000000"/>
              <w:left w:val="single" w:sz="4" w:space="0" w:color="000000"/>
              <w:bottom w:val="single" w:sz="4" w:space="0" w:color="000000"/>
              <w:right w:val="single" w:sz="4" w:space="0" w:color="000000"/>
            </w:tcBorders>
          </w:tcPr>
          <w:p>
            <w:pPr>
              <w:pStyle w:val="Normal"/>
              <w:spacing w:lineRule="auto" w:line="259" w:before="0" w:after="0"/>
              <w:ind w:left="0" w:right="76" w:hanging="0"/>
              <w:jc w:val="left"/>
              <w:rPr/>
            </w:pPr>
            <w:r>
              <w:rPr>
                <w:sz w:val="20"/>
              </w:rPr>
              <w:t>8.</w:t>
            </w:r>
            <w:r>
              <w:rPr>
                <w:rFonts w:eastAsia="Arial" w:cs="Arial" w:ascii="Arial" w:hAnsi="Arial"/>
                <w:sz w:val="20"/>
              </w:rPr>
              <w:t xml:space="preserve"> </w:t>
            </w:r>
            <w:r>
              <w:rPr>
                <w:sz w:val="20"/>
              </w:rPr>
              <w:t xml:space="preserve"> </w:t>
            </w:r>
          </w:p>
        </w:tc>
        <w:tc>
          <w:tcPr>
            <w:tcW w:w="1510" w:type="dxa"/>
            <w:tcBorders>
              <w:top w:val="single" w:sz="4" w:space="0" w:color="000000"/>
              <w:left w:val="single" w:sz="4" w:space="0" w:color="000000"/>
              <w:bottom w:val="single" w:sz="4" w:space="0" w:color="000000"/>
              <w:right w:val="single" w:sz="4" w:space="0" w:color="000000"/>
            </w:tcBorders>
          </w:tcPr>
          <w:p>
            <w:pPr>
              <w:pStyle w:val="Normal"/>
              <w:spacing w:lineRule="auto" w:line="259" w:before="0" w:after="0"/>
              <w:ind w:left="0" w:right="76" w:hanging="0"/>
              <w:jc w:val="left"/>
              <w:rPr/>
            </w:pPr>
            <w:r>
              <w:rPr>
                <w:sz w:val="20"/>
              </w:rPr>
              <w:t xml:space="preserve">Załącznik nr 8 </w:t>
            </w:r>
          </w:p>
        </w:tc>
        <w:tc>
          <w:tcPr>
            <w:tcW w:w="7220" w:type="dxa"/>
            <w:tcBorders>
              <w:top w:val="single" w:sz="4" w:space="0" w:color="000000"/>
              <w:left w:val="single" w:sz="4" w:space="0" w:color="000000"/>
              <w:bottom w:val="single" w:sz="4" w:space="0" w:color="000000"/>
              <w:right w:val="single" w:sz="4" w:space="0" w:color="000000"/>
            </w:tcBorders>
          </w:tcPr>
          <w:p>
            <w:pPr>
              <w:pStyle w:val="Normal"/>
              <w:spacing w:lineRule="auto" w:line="259" w:before="0" w:after="0"/>
              <w:ind w:left="0" w:right="76" w:hanging="0"/>
              <w:rPr/>
            </w:pPr>
            <w:r>
              <w:rPr>
                <w:sz w:val="20"/>
              </w:rPr>
              <w:t xml:space="preserve">Oświadczenia wykonawcy o braku orzeczenia wobec niego tytułem środka zapobiegawczego zakazu ubiegania się o zamówienia publiczne </w:t>
            </w:r>
          </w:p>
        </w:tc>
      </w:tr>
    </w:tbl>
    <w:p>
      <w:pPr>
        <w:pStyle w:val="Normal"/>
        <w:spacing w:lineRule="auto" w:line="259" w:before="0" w:after="235"/>
        <w:ind w:left="0" w:right="76" w:hanging="0"/>
        <w:jc w:val="left"/>
        <w:rPr/>
      </w:pPr>
      <w:r>
        <w:drawing>
          <wp:anchor behindDoc="1" distT="0" distB="0" distL="114300" distR="114300" simplePos="0" locked="0" layoutInCell="1" allowOverlap="1" relativeHeight="29">
            <wp:simplePos x="0" y="0"/>
            <wp:positionH relativeFrom="page">
              <wp:posOffset>900430</wp:posOffset>
            </wp:positionH>
            <wp:positionV relativeFrom="page">
              <wp:posOffset>217170</wp:posOffset>
            </wp:positionV>
            <wp:extent cx="5753100" cy="571500"/>
            <wp:effectExtent l="0" t="0" r="0" b="0"/>
            <wp:wrapSquare wrapText="bothSides"/>
            <wp:docPr id="1" name="Picture 35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3529" descr=""/>
                    <pic:cNvPicPr>
                      <a:picLocks noChangeAspect="1" noChangeArrowheads="1"/>
                    </pic:cNvPicPr>
                  </pic:nvPicPr>
                  <pic:blipFill>
                    <a:blip r:embed="rId21"/>
                    <a:stretch>
                      <a:fillRect/>
                    </a:stretch>
                  </pic:blipFill>
                  <pic:spPr bwMode="auto">
                    <a:xfrm>
                      <a:off x="0" y="0"/>
                      <a:ext cx="5753100" cy="571500"/>
                    </a:xfrm>
                    <a:prstGeom prst="rect">
                      <a:avLst/>
                    </a:prstGeom>
                  </pic:spPr>
                </pic:pic>
              </a:graphicData>
            </a:graphic>
          </wp:anchor>
        </w:drawing>
      </w:r>
      <w:r>
        <w:rPr/>
        <w:t xml:space="preserve"> </w:t>
      </w:r>
    </w:p>
    <w:sectPr>
      <w:headerReference w:type="default" r:id="rId22"/>
      <w:footerReference w:type="default" r:id="rId23"/>
      <w:footnotePr>
        <w:numFmt w:val="decimal"/>
      </w:footnotePr>
      <w:type w:val="nextPage"/>
      <w:pgSz w:w="11906" w:h="16838"/>
      <w:pgMar w:left="1419" w:right="1411" w:header="142" w:top="1134" w:footer="708" w:bottom="1274" w:gutter="0"/>
      <w:pgNumType w:fmt="decimal"/>
      <w:formProt w:val="false"/>
      <w:textDirection w:val="lrTb"/>
      <w:docGrid w:type="default" w:linePitch="10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ee"/>
    <w:family w:val="roman"/>
    <w:pitch w:val="variable"/>
  </w:font>
  <w:font w:name="Calibri">
    <w:charset w:val="ee"/>
    <w:family w:val="roman"/>
    <w:pitch w:val="variable"/>
  </w:font>
  <w:font w:name="Calibri Light">
    <w:charset w:val="ee"/>
    <w:family w:val="roman"/>
    <w:pitch w:val="variable"/>
  </w:font>
  <w:font w:name="Arial">
    <w:charset w:val="ee"/>
    <w:family w:val="roman"/>
    <w:pitch w:val="variable"/>
  </w:font>
  <w:font w:name="Segoe UI">
    <w:charset w:val="ee"/>
    <w:family w:val="roman"/>
    <w:pitch w:val="variable"/>
  </w:font>
  <w:font w:name="Times New Roman">
    <w:charset w:val="ee"/>
    <w:family w:val="roman"/>
    <w:pitch w:val="variable"/>
  </w:font>
  <w:font w:name="Arial-BoldMT">
    <w:charset w:val="ee"/>
    <w:family w:val="roman"/>
    <w:pitch w:val="variable"/>
  </w:font>
  <w:font w:name="ArialMT">
    <w:charset w:val="ee"/>
    <w:family w:val="roman"/>
    <w:pitch w:val="variable"/>
  </w:font>
  <w:font w:name="Liberation Sans">
    <w:altName w:val="Arial"/>
    <w:charset w:val="ee"/>
    <w:family w:val="roman"/>
    <w:pitch w:val="variable"/>
  </w:font>
  <w:font w:name="MinionPro-Regular">
    <w:charset w:val="ee"/>
    <w:family w:val="roman"/>
    <w:pitch w:val="variable"/>
  </w:font>
  <w:font w:name="Book-Antiqua">
    <w:charset w:val="ee"/>
    <w:family w:val="roman"/>
    <w:pitch w:val="variable"/>
  </w:font>
  <w:font w:name="Lato">
    <w:charset w:val="ee"/>
    <w:family w:val="roman"/>
    <w:pitch w:val="variable"/>
  </w:font>
  <w:font w:name="Arial">
    <w:charset w:val="01"/>
    <w:family w:val="swiss"/>
    <w:pitch w:val="variable"/>
  </w:font>
  <w:font w:name="Segoe UI Symbol">
    <w:charset w:val="01"/>
    <w:family w:val="swiss"/>
    <w:pitch w:val="variable"/>
  </w:font>
  <w:font w:name="Tahoma">
    <w:charset w:val="01"/>
    <w:family w:val="swiss"/>
    <w:pitch w:val="variable"/>
  </w:font>
  <w:font w:name="Wingdings">
    <w:charset w:val="02"/>
    <w:family w:val="auto"/>
    <w:pitch w:val="variable"/>
  </w:font>
  <w:font w:name="Courier New">
    <w:charset w:val="01"/>
    <w:family w:val="modern"/>
    <w:pitch w:val="fixed"/>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
      <w:spacing w:lineRule="auto" w:line="259" w:before="0" w:after="0"/>
      <w:ind w:left="33" w:right="0" w:hanging="0"/>
      <w:jc w:val="center"/>
      <w:rPr/>
    </w:pPr>
    <w:r>
      <mc:AlternateContent>
        <mc:Choice Requires="wpg">
          <w:drawing>
            <wp:anchor behindDoc="1" distT="0" distB="0" distL="114300" distR="114300" simplePos="0" locked="0" layoutInCell="1" allowOverlap="1" relativeHeight="28" wp14:anchorId="2D4715A0">
              <wp:simplePos x="0" y="0"/>
              <wp:positionH relativeFrom="page">
                <wp:posOffset>882650</wp:posOffset>
              </wp:positionH>
              <wp:positionV relativeFrom="page">
                <wp:posOffset>9979025</wp:posOffset>
              </wp:positionV>
              <wp:extent cx="5799455" cy="7620"/>
              <wp:effectExtent l="0" t="0" r="0" b="0"/>
              <wp:wrapSquare wrapText="bothSides"/>
              <wp:docPr id="3" name="Group 26770"/>
              <a:graphic xmlns:a="http://schemas.openxmlformats.org/drawingml/2006/main">
                <a:graphicData uri="http://schemas.microsoft.com/office/word/2010/wordprocessingGroup">
                  <wpg:wgp>
                    <wpg:cNvGrpSpPr/>
                    <wpg:grpSpPr>
                      <a:xfrm>
                        <a:off x="0" y="0"/>
                        <a:ext cx="5798880" cy="6840"/>
                      </a:xfrm>
                    </wpg:grpSpPr>
                    <wps:wsp>
                      <wps:cNvSpPr/>
                      <wps:spPr>
                        <a:xfrm>
                          <a:off x="0" y="0"/>
                          <a:ext cx="5798880" cy="6840"/>
                        </a:xfrm>
                        <a:custGeom>
                          <a:avLst/>
                          <a:gdLst/>
                          <a:ahLst/>
                          <a:rect l="l" t="t" r="r" b="b"/>
                          <a:pathLst>
                            <a:path w="5798185" h="9144">
                              <a:moveTo>
                                <a:pt x="0" y="0"/>
                              </a:moveTo>
                              <a:lnTo>
                                <a:pt x="5798185" y="0"/>
                              </a:lnTo>
                              <a:lnTo>
                                <a:pt x="5798185" y="9144"/>
                              </a:lnTo>
                              <a:lnTo>
                                <a:pt x="0" y="9144"/>
                              </a:lnTo>
                              <a:lnTo>
                                <a:pt x="0" y="0"/>
                              </a:lnTo>
                            </a:path>
                          </a:pathLst>
                        </a:custGeom>
                        <a:solidFill>
                          <a:srgbClr val="000000"/>
                        </a:solidFill>
                        <a:ln>
                          <a:noFill/>
                        </a:ln>
                      </wps:spPr>
                      <wps:style>
                        <a:lnRef idx="0"/>
                        <a:fillRef idx="0"/>
                        <a:effectRef idx="0"/>
                        <a:fontRef idx="minor"/>
                      </wps:style>
                      <wps:bodyPr/>
                    </wps:wsp>
                  </wpg:wgp>
                </a:graphicData>
              </a:graphic>
            </wp:anchor>
          </w:drawing>
        </mc:Choice>
        <mc:Fallback>
          <w:pict>
            <v:group id="shape_0" alt="Group 26770" style="position:absolute;margin-left:69.5pt;margin-top:785.75pt;width:456.6pt;height:0.55pt" coordorigin="1390,15715" coordsize="9132,11"/>
          </w:pict>
        </mc:Fallback>
      </mc:AlternateContent>
    </w:r>
    <w:r>
      <w:rPr>
        <w:sz w:val="16"/>
      </w:rPr>
      <w:t xml:space="preserve"> </w:t>
    </w:r>
  </w:p>
  <w:p>
    <w:pPr>
      <w:pStyle w:val="Normal"/>
      <w:spacing w:lineRule="auto" w:line="259" w:before="0" w:after="0"/>
      <w:ind w:left="0" w:right="6" w:hanging="0"/>
      <w:jc w:val="center"/>
      <w:rPr/>
    </w:pPr>
    <w:r>
      <w:rPr>
        <w:sz w:val="16"/>
      </w:rPr>
      <w:t xml:space="preserve">Strona </w:t>
    </w:r>
    <w:r>
      <w:rPr>
        <w:b/>
        <w:sz w:val="16"/>
      </w:rPr>
      <w:fldChar w:fldCharType="begin"/>
    </w:r>
    <w:r>
      <w:rPr>
        <w:sz w:val="16"/>
        <w:b/>
      </w:rPr>
      <w:instrText> PAGE </w:instrText>
    </w:r>
    <w:r>
      <w:rPr>
        <w:sz w:val="16"/>
        <w:b/>
      </w:rPr>
      <w:fldChar w:fldCharType="separate"/>
    </w:r>
    <w:r>
      <w:rPr>
        <w:sz w:val="16"/>
        <w:b/>
      </w:rPr>
      <w:t>27</w:t>
    </w:r>
    <w:r>
      <w:rPr>
        <w:sz w:val="16"/>
        <w:b/>
      </w:rPr>
      <w:fldChar w:fldCharType="end"/>
    </w:r>
    <w:r>
      <w:rPr>
        <w:sz w:val="16"/>
      </w:rPr>
      <w:t xml:space="preserve"> z </w:t>
    </w:r>
    <w:r>
      <w:rPr>
        <w:b/>
        <w:sz w:val="16"/>
      </w:rPr>
      <w:fldChar w:fldCharType="begin"/>
    </w:r>
    <w:r>
      <w:rPr>
        <w:sz w:val="16"/>
        <w:b/>
      </w:rPr>
      <w:instrText> NUMPAGES </w:instrText>
    </w:r>
    <w:r>
      <w:rPr>
        <w:sz w:val="16"/>
        <w:b/>
      </w:rPr>
      <w:fldChar w:fldCharType="separate"/>
    </w:r>
    <w:r>
      <w:rPr>
        <w:sz w:val="16"/>
        <w:b/>
      </w:rPr>
      <w:t>27</w:t>
    </w:r>
    <w:r>
      <w:rPr>
        <w:sz w:val="16"/>
        <w:b/>
      </w:rPr>
      <w:fldChar w:fldCharType="end"/>
    </w:r>
    <w:r>
      <w:rPr>
        <w:b/>
        <w:sz w:val="16"/>
      </w:rPr>
      <w:t xml:space="preserve"> </w:t>
    </w:r>
  </w:p>
</w:ftr>
</file>

<file path=word/footnotes.xml><?xml version="1.0" encoding="utf-8"?>
<w:footnotes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footnote w:id="0" w:type="separator">
    <w:p>
      <w:pPr>
        <w:rPr>
          <w:sz w:val="12"/>
        </w:rPr>
      </w:pPr>
      <w:r>
        <w:separator/>
      </w:r>
    </w:p>
  </w:footnote>
  <w:footnote w:id="1" w:type="continuationSeparator">
    <w:p>
      <w:pPr>
        <w:rPr>
          <w:sz w:val="12"/>
        </w:rPr>
      </w:pPr>
      <w:r>
        <w:continuationSeparator/>
      </w:r>
    </w:p>
  </w:footnote>
  <w:footnote w:id="2">
    <w:p>
      <w:pPr>
        <w:pStyle w:val="Footnotedescription"/>
        <w:spacing w:lineRule="auto" w:line="247" w:before="0" w:after="26"/>
        <w:ind w:left="142" w:right="4000" w:hanging="142"/>
        <w:jc w:val="both"/>
        <w:rPr>
          <w:sz w:val="14"/>
        </w:rPr>
      </w:pPr>
      <w:r>
        <w:rPr>
          <w:rStyle w:val="Znakiprzypiswdolnych"/>
        </w:rPr>
        <w:footnoteRef/>
      </w:r>
      <w:r>
        <w:rPr>
          <w:sz w:val="14"/>
        </w:rPr>
        <w:tab/>
        <w:t xml:space="preserve"> </w:t>
      </w:r>
      <w:r>
        <w:rPr>
          <w:rFonts w:eastAsia="Calibri" w:cs="Calibri" w:ascii="Calibri" w:hAnsi="Calibri"/>
        </w:rPr>
        <w:t xml:space="preserve">Skorzystanie z prawa do sprostowania nie może skutkować zmianą wyniku postępowania o udzielenie zamówienia publicznego ani zmianą postanowień umowy w zakresie niezgodnym z ustawą Pzp oraz nie może naruszać integralności protokołu oraz jego załączników. </w:t>
      </w:r>
    </w:p>
  </w:footnote>
  <w:footnote w:id="3">
    <w:p>
      <w:pPr>
        <w:pStyle w:val="Footnotedescription"/>
        <w:spacing w:lineRule="auto" w:line="247" w:before="0" w:after="0"/>
        <w:ind w:left="142" w:right="4000" w:hanging="142"/>
        <w:jc w:val="both"/>
        <w:rPr/>
      </w:pPr>
      <w:r>
        <w:rPr>
          <w:rStyle w:val="Znakiprzypiswdolnych"/>
        </w:rPr>
        <w:footnoteRef/>
      </w:r>
      <w:r>
        <w:rPr>
          <w:sz w:val="14"/>
        </w:rPr>
        <w:tab/>
        <w:t xml:space="preserve"> </w:t>
      </w:r>
      <w:r>
        <w:rPr>
          <w:rFonts w:eastAsia="Calibri" w:cs="Calibri" w:ascii="Calibri" w:hAnsi="Calibri"/>
        </w:rPr>
        <w:t>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w:t>
      </w:r>
      <w:r>
        <w:rPr>
          <w:rFonts w:eastAsia="Calibri" w:cs="Calibri" w:ascii="Calibri" w:hAnsi="Calibri"/>
          <w:sz w:val="18"/>
        </w:rPr>
        <w:t xml:space="preserve"> </w:t>
      </w:r>
    </w:p>
  </w:footnote>
</w:footnotes>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
      <w:spacing w:lineRule="auto" w:line="259" w:before="0" w:after="0"/>
      <w:ind w:left="0" w:right="0" w:hanging="0"/>
      <w:jc w:val="left"/>
      <w:rPr/>
    </w:pPr>
    <w:r>
      <w:rPr>
        <w:sz w:val="14"/>
      </w:rPr>
      <w:t xml:space="preserve"> </w:t>
    </w:r>
    <w:r>
      <w:rPr/>
      <w:drawing>
        <wp:inline distT="0" distB="0" distL="0" distR="0">
          <wp:extent cx="5640705" cy="542925"/>
          <wp:effectExtent l="0" t="0" r="0" b="0"/>
          <wp:docPr id="2" name="Obraz 1" descr="Od lewej znak Funduszy Europejskich złożony z symbolu graficznego, nazwy Fundusze Europejskie oraz odwołania do Programu Regionalnego; w środku logo promocyjne Mazowsza złożone z ozdobnego napisu Mazowsze oraz podpisu Serce Polski; zestaw podstawowy zamyka znak Unii Europejskiej złożony z flagi Unii Europejskiej i napisu Unia Europejska oraz Europejski Fundusz Rozwoju Regionalnego. Napisy znajdują się po lewej stronie flag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Obraz 1" descr="Od lewej znak Funduszy Europejskich złożony z symbolu graficznego, nazwy Fundusze Europejskie oraz odwołania do Programu Regionalnego; w środku logo promocyjne Mazowsza złożone z ozdobnego napisu Mazowsze oraz podpisu Serce Polski; zestaw podstawowy zamyka znak Unii Europejskiej złożony z flagi Unii Europejskiej i napisu Unia Europejska oraz Europejski Fundusz Rozwoju Regionalnego. Napisy znajdują się po lewej stronie flagi."/>
                  <pic:cNvPicPr>
                    <a:picLocks noChangeAspect="1" noChangeArrowheads="1"/>
                  </pic:cNvPicPr>
                </pic:nvPicPr>
                <pic:blipFill>
                  <a:blip r:embed="rId1"/>
                  <a:stretch>
                    <a:fillRect/>
                  </a:stretch>
                </pic:blipFill>
                <pic:spPr bwMode="auto">
                  <a:xfrm>
                    <a:off x="0" y="0"/>
                    <a:ext cx="5640705" cy="542925"/>
                  </a:xfrm>
                  <a:prstGeom prst="rect">
                    <a:avLst/>
                  </a:prstGeom>
                </pic:spPr>
              </pic:pic>
            </a:graphicData>
          </a:graphic>
        </wp:inline>
      </w:drawing>
    </w:r>
  </w:p>
</w:hdr>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pStyle w:val="Nagwek1"/>
      <w:numFmt w:val="decimal"/>
      <w:lvlText w:val="%1."/>
      <w:lvlJc w:val="left"/>
      <w:pPr>
        <w:ind w:left="0" w:hanging="0"/>
      </w:pPr>
      <w:rPr>
        <w:smallCaps w:val="false"/>
        <w:caps w:val="false"/>
        <w:outline w:val="false"/>
        <w:dstrike w:val="false"/>
        <w:strike w:val="false"/>
        <w:vertAlign w:val="baseline"/>
        <w:position w:val="0"/>
        <w:sz w:val="22"/>
        <w:sz w:val="22"/>
        <w:spacing w:val="0"/>
        <w:i w:val="false"/>
        <w:shadow w:val="false"/>
        <w:u w:val="none"/>
        <w:b w:val="false"/>
        <w:kern w:val="0"/>
        <w:effect w:val="none"/>
        <w:iCs w:val="false"/>
        <w:bCs w:val="false"/>
        <w:em w:val="none"/>
        <w:emboss w:val="false"/>
        <w:imprint w:val="false"/>
        <w:vanish w:val="false"/>
        <w:color w:val="000000"/>
      </w:r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abstractNum w:abstractNumId="2">
    <w:lvl w:ilvl="0">
      <w:start w:val="1"/>
      <w:numFmt w:val="bullet"/>
      <w:lvlText w:val="•"/>
      <w:lvlJc w:val="left"/>
      <w:pPr>
        <w:ind w:left="732" w:hanging="0"/>
      </w:pPr>
      <w:rPr>
        <w:rFonts w:ascii="Arial" w:hAnsi="Arial" w:cs="Arial" w:hint="default"/>
        <w:dstrike w:val="false"/>
        <w:strike w:val="false"/>
        <w:vertAlign w:val="baseline"/>
        <w:position w:val="0"/>
        <w:sz w:val="22"/>
        <w:sz w:val="22"/>
        <w:i w:val="false"/>
        <w:u w:val="none" w:color="000000"/>
        <w:b w:val="false"/>
        <w:szCs w:val="22"/>
        <w:rFonts w:cs="Arial"/>
        <w:color w:val="000000"/>
      </w:rPr>
    </w:lvl>
    <w:lvl w:ilvl="1">
      <w:start w:val="1"/>
      <w:numFmt w:val="bullet"/>
      <w:lvlText w:val="o"/>
      <w:lvlJc w:val="left"/>
      <w:pPr>
        <w:ind w:left="1440" w:hanging="0"/>
      </w:pPr>
      <w:rPr>
        <w:rFonts w:ascii="Segoe UI Symbol" w:hAnsi="Segoe UI Symbol" w:cs="Segoe UI Symbol" w:hint="default"/>
        <w:dstrike w:val="false"/>
        <w:strike w:val="false"/>
        <w:vertAlign w:val="baseline"/>
        <w:position w:val="0"/>
        <w:sz w:val="22"/>
        <w:sz w:val="22"/>
        <w:i w:val="false"/>
        <w:u w:val="none" w:color="000000"/>
        <w:b w:val="false"/>
        <w:szCs w:val="22"/>
        <w:rFonts w:cs="Segoe UI Symbol"/>
        <w:color w:val="000000"/>
      </w:rPr>
    </w:lvl>
    <w:lvl w:ilvl="2">
      <w:start w:val="1"/>
      <w:numFmt w:val="bullet"/>
      <w:lvlText w:val="▪"/>
      <w:lvlJc w:val="left"/>
      <w:pPr>
        <w:ind w:left="2160" w:hanging="0"/>
      </w:pPr>
      <w:rPr>
        <w:rFonts w:ascii="Segoe UI Symbol" w:hAnsi="Segoe UI Symbol" w:cs="Segoe UI Symbol" w:hint="default"/>
        <w:dstrike w:val="false"/>
        <w:strike w:val="false"/>
        <w:vertAlign w:val="baseline"/>
        <w:position w:val="0"/>
        <w:sz w:val="22"/>
        <w:sz w:val="22"/>
        <w:i w:val="false"/>
        <w:u w:val="none" w:color="000000"/>
        <w:b w:val="false"/>
        <w:szCs w:val="22"/>
        <w:rFonts w:cs="Segoe UI Symbol"/>
        <w:color w:val="000000"/>
      </w:rPr>
    </w:lvl>
    <w:lvl w:ilvl="3">
      <w:start w:val="1"/>
      <w:numFmt w:val="bullet"/>
      <w:lvlText w:val="•"/>
      <w:lvlJc w:val="left"/>
      <w:pPr>
        <w:ind w:left="2880" w:hanging="0"/>
      </w:pPr>
      <w:rPr>
        <w:rFonts w:ascii="Arial" w:hAnsi="Arial" w:cs="Arial" w:hint="default"/>
        <w:dstrike w:val="false"/>
        <w:strike w:val="false"/>
        <w:vertAlign w:val="baseline"/>
        <w:position w:val="0"/>
        <w:sz w:val="22"/>
        <w:sz w:val="22"/>
        <w:i w:val="false"/>
        <w:u w:val="none" w:color="000000"/>
        <w:b w:val="false"/>
        <w:szCs w:val="22"/>
        <w:rFonts w:cs="Arial"/>
        <w:color w:val="000000"/>
      </w:rPr>
    </w:lvl>
    <w:lvl w:ilvl="4">
      <w:start w:val="1"/>
      <w:numFmt w:val="bullet"/>
      <w:lvlText w:val="o"/>
      <w:lvlJc w:val="left"/>
      <w:pPr>
        <w:ind w:left="3600" w:hanging="0"/>
      </w:pPr>
      <w:rPr>
        <w:rFonts w:ascii="Segoe UI Symbol" w:hAnsi="Segoe UI Symbol" w:cs="Segoe UI Symbol" w:hint="default"/>
        <w:dstrike w:val="false"/>
        <w:strike w:val="false"/>
        <w:vertAlign w:val="baseline"/>
        <w:position w:val="0"/>
        <w:sz w:val="22"/>
        <w:sz w:val="22"/>
        <w:i w:val="false"/>
        <w:u w:val="none" w:color="000000"/>
        <w:b w:val="false"/>
        <w:szCs w:val="22"/>
        <w:rFonts w:cs="Segoe UI Symbol"/>
        <w:color w:val="000000"/>
      </w:rPr>
    </w:lvl>
    <w:lvl w:ilvl="5">
      <w:start w:val="1"/>
      <w:numFmt w:val="bullet"/>
      <w:lvlText w:val="▪"/>
      <w:lvlJc w:val="left"/>
      <w:pPr>
        <w:ind w:left="4320" w:hanging="0"/>
      </w:pPr>
      <w:rPr>
        <w:rFonts w:ascii="Segoe UI Symbol" w:hAnsi="Segoe UI Symbol" w:cs="Segoe UI Symbol" w:hint="default"/>
        <w:dstrike w:val="false"/>
        <w:strike w:val="false"/>
        <w:vertAlign w:val="baseline"/>
        <w:position w:val="0"/>
        <w:sz w:val="22"/>
        <w:sz w:val="22"/>
        <w:i w:val="false"/>
        <w:u w:val="none" w:color="000000"/>
        <w:b w:val="false"/>
        <w:szCs w:val="22"/>
        <w:rFonts w:cs="Segoe UI Symbol"/>
        <w:color w:val="000000"/>
      </w:rPr>
    </w:lvl>
    <w:lvl w:ilvl="6">
      <w:start w:val="1"/>
      <w:numFmt w:val="bullet"/>
      <w:lvlText w:val="•"/>
      <w:lvlJc w:val="left"/>
      <w:pPr>
        <w:ind w:left="5040" w:hanging="0"/>
      </w:pPr>
      <w:rPr>
        <w:rFonts w:ascii="Arial" w:hAnsi="Arial" w:cs="Arial" w:hint="default"/>
        <w:dstrike w:val="false"/>
        <w:strike w:val="false"/>
        <w:vertAlign w:val="baseline"/>
        <w:position w:val="0"/>
        <w:sz w:val="22"/>
        <w:sz w:val="22"/>
        <w:i w:val="false"/>
        <w:u w:val="none" w:color="000000"/>
        <w:b w:val="false"/>
        <w:szCs w:val="22"/>
        <w:rFonts w:cs="Arial"/>
        <w:color w:val="000000"/>
      </w:rPr>
    </w:lvl>
    <w:lvl w:ilvl="7">
      <w:start w:val="1"/>
      <w:numFmt w:val="bullet"/>
      <w:lvlText w:val="o"/>
      <w:lvlJc w:val="left"/>
      <w:pPr>
        <w:ind w:left="5760" w:hanging="0"/>
      </w:pPr>
      <w:rPr>
        <w:rFonts w:ascii="Segoe UI Symbol" w:hAnsi="Segoe UI Symbol" w:cs="Segoe UI Symbol" w:hint="default"/>
        <w:dstrike w:val="false"/>
        <w:strike w:val="false"/>
        <w:vertAlign w:val="baseline"/>
        <w:position w:val="0"/>
        <w:sz w:val="22"/>
        <w:sz w:val="22"/>
        <w:i w:val="false"/>
        <w:u w:val="none" w:color="000000"/>
        <w:b w:val="false"/>
        <w:szCs w:val="22"/>
        <w:rFonts w:cs="Segoe UI Symbol"/>
        <w:color w:val="000000"/>
      </w:rPr>
    </w:lvl>
    <w:lvl w:ilvl="8">
      <w:start w:val="1"/>
      <w:numFmt w:val="bullet"/>
      <w:lvlText w:val="▪"/>
      <w:lvlJc w:val="left"/>
      <w:pPr>
        <w:ind w:left="6480" w:hanging="0"/>
      </w:pPr>
      <w:rPr>
        <w:rFonts w:ascii="Segoe UI Symbol" w:hAnsi="Segoe UI Symbol" w:cs="Segoe UI Symbol" w:hint="default"/>
        <w:dstrike w:val="false"/>
        <w:strike w:val="false"/>
        <w:vertAlign w:val="baseline"/>
        <w:position w:val="0"/>
        <w:sz w:val="22"/>
        <w:sz w:val="22"/>
        <w:i w:val="false"/>
        <w:u w:val="none" w:color="000000"/>
        <w:b w:val="false"/>
        <w:szCs w:val="22"/>
        <w:rFonts w:cs="Segoe UI Symbol"/>
        <w:color w:val="000000"/>
      </w:rPr>
    </w:lvl>
  </w:abstractNum>
  <w:abstractNum w:abstractNumId="3">
    <w:lvl w:ilvl="0">
      <w:start w:val="1"/>
      <w:numFmt w:val="lowerLetter"/>
      <w:lvlText w:val="%1)"/>
      <w:lvlJc w:val="left"/>
      <w:pPr>
        <w:ind w:left="10" w:hanging="0"/>
      </w:pPr>
      <w:rPr>
        <w:dstrike w:val="false"/>
        <w:strike w:val="false"/>
        <w:vertAlign w:val="baseline"/>
        <w:position w:val="0"/>
        <w:sz w:val="22"/>
        <w:sz w:val="22"/>
        <w:i w:val="false"/>
        <w:u w:val="none" w:color="000000"/>
        <w:b w:val="false"/>
        <w:szCs w:val="22"/>
        <w:rFonts w:eastAsia="Calibri" w:cs="Calibri"/>
        <w:color w:val="000000"/>
      </w:rPr>
    </w:lvl>
    <w:lvl w:ilvl="1">
      <w:start w:val="1"/>
      <w:numFmt w:val="lowerLetter"/>
      <w:lvlText w:val="%2"/>
      <w:lvlJc w:val="left"/>
      <w:pPr>
        <w:ind w:left="1080" w:hanging="0"/>
      </w:pPr>
      <w:rPr>
        <w:dstrike w:val="false"/>
        <w:strike w:val="false"/>
        <w:vertAlign w:val="baseline"/>
        <w:position w:val="0"/>
        <w:sz w:val="22"/>
        <w:sz w:val="22"/>
        <w:i w:val="false"/>
        <w:u w:val="none" w:color="000000"/>
        <w:b w:val="false"/>
        <w:szCs w:val="22"/>
        <w:rFonts w:eastAsia="Calibri" w:cs="Calibri"/>
        <w:color w:val="000000"/>
      </w:rPr>
    </w:lvl>
    <w:lvl w:ilvl="2">
      <w:start w:val="1"/>
      <w:numFmt w:val="lowerRoman"/>
      <w:lvlText w:val="%3"/>
      <w:lvlJc w:val="left"/>
      <w:pPr>
        <w:ind w:left="1800" w:hanging="0"/>
      </w:pPr>
      <w:rPr>
        <w:dstrike w:val="false"/>
        <w:strike w:val="false"/>
        <w:vertAlign w:val="baseline"/>
        <w:position w:val="0"/>
        <w:sz w:val="22"/>
        <w:sz w:val="22"/>
        <w:i w:val="false"/>
        <w:u w:val="none" w:color="000000"/>
        <w:b w:val="false"/>
        <w:szCs w:val="22"/>
        <w:rFonts w:eastAsia="Calibri" w:cs="Calibri"/>
        <w:color w:val="000000"/>
      </w:rPr>
    </w:lvl>
    <w:lvl w:ilvl="3">
      <w:start w:val="1"/>
      <w:numFmt w:val="decimal"/>
      <w:lvlText w:val="%4"/>
      <w:lvlJc w:val="left"/>
      <w:pPr>
        <w:ind w:left="2520" w:hanging="0"/>
      </w:pPr>
      <w:rPr>
        <w:dstrike w:val="false"/>
        <w:strike w:val="false"/>
        <w:vertAlign w:val="baseline"/>
        <w:position w:val="0"/>
        <w:sz w:val="22"/>
        <w:sz w:val="22"/>
        <w:i w:val="false"/>
        <w:u w:val="none" w:color="000000"/>
        <w:b w:val="false"/>
        <w:szCs w:val="22"/>
        <w:rFonts w:eastAsia="Calibri" w:cs="Calibri"/>
        <w:color w:val="000000"/>
      </w:rPr>
    </w:lvl>
    <w:lvl w:ilvl="4">
      <w:start w:val="1"/>
      <w:numFmt w:val="lowerLetter"/>
      <w:lvlText w:val="%5"/>
      <w:lvlJc w:val="left"/>
      <w:pPr>
        <w:ind w:left="3240" w:hanging="0"/>
      </w:pPr>
      <w:rPr>
        <w:dstrike w:val="false"/>
        <w:strike w:val="false"/>
        <w:vertAlign w:val="baseline"/>
        <w:position w:val="0"/>
        <w:sz w:val="22"/>
        <w:sz w:val="22"/>
        <w:i w:val="false"/>
        <w:u w:val="none" w:color="000000"/>
        <w:b w:val="false"/>
        <w:szCs w:val="22"/>
        <w:rFonts w:eastAsia="Calibri" w:cs="Calibri"/>
        <w:color w:val="000000"/>
      </w:rPr>
    </w:lvl>
    <w:lvl w:ilvl="5">
      <w:start w:val="1"/>
      <w:numFmt w:val="lowerRoman"/>
      <w:lvlText w:val="%6"/>
      <w:lvlJc w:val="left"/>
      <w:pPr>
        <w:ind w:left="3960" w:hanging="0"/>
      </w:pPr>
      <w:rPr>
        <w:dstrike w:val="false"/>
        <w:strike w:val="false"/>
        <w:vertAlign w:val="baseline"/>
        <w:position w:val="0"/>
        <w:sz w:val="22"/>
        <w:sz w:val="22"/>
        <w:i w:val="false"/>
        <w:u w:val="none" w:color="000000"/>
        <w:b w:val="false"/>
        <w:szCs w:val="22"/>
        <w:rFonts w:eastAsia="Calibri" w:cs="Calibri"/>
        <w:color w:val="000000"/>
      </w:rPr>
    </w:lvl>
    <w:lvl w:ilvl="6">
      <w:start w:val="1"/>
      <w:numFmt w:val="decimal"/>
      <w:lvlText w:val="%7"/>
      <w:lvlJc w:val="left"/>
      <w:pPr>
        <w:ind w:left="4680" w:hanging="0"/>
      </w:pPr>
      <w:rPr>
        <w:dstrike w:val="false"/>
        <w:strike w:val="false"/>
        <w:vertAlign w:val="baseline"/>
        <w:position w:val="0"/>
        <w:sz w:val="22"/>
        <w:sz w:val="22"/>
        <w:i w:val="false"/>
        <w:u w:val="none" w:color="000000"/>
        <w:b w:val="false"/>
        <w:szCs w:val="22"/>
        <w:rFonts w:eastAsia="Calibri" w:cs="Calibri"/>
        <w:color w:val="000000"/>
      </w:rPr>
    </w:lvl>
    <w:lvl w:ilvl="7">
      <w:start w:val="1"/>
      <w:numFmt w:val="lowerLetter"/>
      <w:lvlText w:val="%8"/>
      <w:lvlJc w:val="left"/>
      <w:pPr>
        <w:ind w:left="5400" w:hanging="0"/>
      </w:pPr>
      <w:rPr>
        <w:dstrike w:val="false"/>
        <w:strike w:val="false"/>
        <w:vertAlign w:val="baseline"/>
        <w:position w:val="0"/>
        <w:sz w:val="22"/>
        <w:sz w:val="22"/>
        <w:i w:val="false"/>
        <w:u w:val="none" w:color="000000"/>
        <w:b w:val="false"/>
        <w:szCs w:val="22"/>
        <w:rFonts w:eastAsia="Calibri" w:cs="Calibri"/>
        <w:color w:val="000000"/>
      </w:rPr>
    </w:lvl>
    <w:lvl w:ilvl="8">
      <w:start w:val="1"/>
      <w:numFmt w:val="lowerRoman"/>
      <w:lvlText w:val="%9"/>
      <w:lvlJc w:val="left"/>
      <w:pPr>
        <w:ind w:left="6120" w:hanging="0"/>
      </w:pPr>
      <w:rPr>
        <w:dstrike w:val="false"/>
        <w:strike w:val="false"/>
        <w:vertAlign w:val="baseline"/>
        <w:position w:val="0"/>
        <w:sz w:val="22"/>
        <w:sz w:val="22"/>
        <w:i w:val="false"/>
        <w:u w:val="none" w:color="000000"/>
        <w:b w:val="false"/>
        <w:szCs w:val="22"/>
        <w:rFonts w:eastAsia="Calibri" w:cs="Calibri"/>
        <w:color w:val="000000"/>
      </w:rPr>
    </w:lvl>
  </w:abstractNum>
  <w:abstractNum w:abstractNumId="4">
    <w:lvl w:ilvl="0">
      <w:start w:val="1"/>
      <w:numFmt w:val="decimal"/>
      <w:lvlText w:val="%1"/>
      <w:lvlJc w:val="left"/>
      <w:pPr>
        <w:ind w:left="360" w:hanging="0"/>
      </w:pPr>
      <w:rPr>
        <w:dstrike w:val="false"/>
        <w:strike w:val="false"/>
        <w:vertAlign w:val="baseline"/>
        <w:position w:val="0"/>
        <w:sz w:val="22"/>
        <w:sz w:val="22"/>
        <w:i w:val="false"/>
        <w:u w:val="none" w:color="000000"/>
        <w:b w:val="false"/>
        <w:szCs w:val="22"/>
        <w:rFonts w:eastAsia="Calibri" w:cs="Calibri"/>
        <w:color w:val="000000"/>
      </w:rPr>
    </w:lvl>
    <w:lvl w:ilvl="1">
      <w:start w:val="1"/>
      <w:numFmt w:val="lowerLetter"/>
      <w:lvlText w:val="%2"/>
      <w:lvlJc w:val="left"/>
      <w:pPr>
        <w:ind w:left="596" w:hanging="0"/>
      </w:pPr>
      <w:rPr>
        <w:dstrike w:val="false"/>
        <w:strike w:val="false"/>
        <w:vertAlign w:val="baseline"/>
        <w:position w:val="0"/>
        <w:sz w:val="22"/>
        <w:sz w:val="22"/>
        <w:i w:val="false"/>
        <w:u w:val="none" w:color="000000"/>
        <w:b w:val="false"/>
        <w:szCs w:val="22"/>
        <w:rFonts w:eastAsia="Calibri" w:cs="Calibri"/>
        <w:color w:val="000000"/>
      </w:rPr>
    </w:lvl>
    <w:lvl w:ilvl="2">
      <w:start w:val="1"/>
      <w:numFmt w:val="lowerRoman"/>
      <w:lvlText w:val="%3"/>
      <w:lvlJc w:val="left"/>
      <w:pPr>
        <w:ind w:left="832" w:hanging="0"/>
      </w:pPr>
      <w:rPr>
        <w:dstrike w:val="false"/>
        <w:strike w:val="false"/>
        <w:vertAlign w:val="baseline"/>
        <w:position w:val="0"/>
        <w:sz w:val="22"/>
        <w:sz w:val="22"/>
        <w:i w:val="false"/>
        <w:u w:val="none" w:color="000000"/>
        <w:b w:val="false"/>
        <w:szCs w:val="22"/>
        <w:rFonts w:eastAsia="Calibri" w:cs="Calibri"/>
        <w:color w:val="000000"/>
      </w:rPr>
    </w:lvl>
    <w:lvl w:ilvl="3">
      <w:start w:val="1"/>
      <w:numFmt w:val="lowerLetter"/>
      <w:lvlText w:val="%4)"/>
      <w:lvlJc w:val="left"/>
      <w:pPr>
        <w:ind w:left="1080" w:hanging="0"/>
      </w:pPr>
      <w:rPr>
        <w:dstrike w:val="false"/>
        <w:strike w:val="false"/>
        <w:vertAlign w:val="baseline"/>
        <w:position w:val="0"/>
        <w:sz w:val="22"/>
        <w:sz w:val="22"/>
        <w:i w:val="false"/>
        <w:u w:val="none" w:color="000000"/>
        <w:b w:val="false"/>
        <w:szCs w:val="22"/>
        <w:rFonts w:eastAsia="Calibri" w:cs="Calibri"/>
        <w:color w:val="000000"/>
      </w:rPr>
    </w:lvl>
    <w:lvl w:ilvl="4">
      <w:start w:val="1"/>
      <w:numFmt w:val="lowerLetter"/>
      <w:lvlText w:val="%5"/>
      <w:lvlJc w:val="left"/>
      <w:pPr>
        <w:ind w:left="1788" w:hanging="0"/>
      </w:pPr>
      <w:rPr>
        <w:dstrike w:val="false"/>
        <w:strike w:val="false"/>
        <w:vertAlign w:val="baseline"/>
        <w:position w:val="0"/>
        <w:sz w:val="22"/>
        <w:sz w:val="22"/>
        <w:i w:val="false"/>
        <w:u w:val="none" w:color="000000"/>
        <w:b w:val="false"/>
        <w:szCs w:val="22"/>
        <w:rFonts w:eastAsia="Calibri" w:cs="Calibri"/>
        <w:color w:val="000000"/>
      </w:rPr>
    </w:lvl>
    <w:lvl w:ilvl="5">
      <w:start w:val="1"/>
      <w:numFmt w:val="lowerRoman"/>
      <w:lvlText w:val="%6"/>
      <w:lvlJc w:val="left"/>
      <w:pPr>
        <w:ind w:left="2508" w:hanging="0"/>
      </w:pPr>
      <w:rPr>
        <w:dstrike w:val="false"/>
        <w:strike w:val="false"/>
        <w:vertAlign w:val="baseline"/>
        <w:position w:val="0"/>
        <w:sz w:val="22"/>
        <w:sz w:val="22"/>
        <w:i w:val="false"/>
        <w:u w:val="none" w:color="000000"/>
        <w:b w:val="false"/>
        <w:szCs w:val="22"/>
        <w:rFonts w:eastAsia="Calibri" w:cs="Calibri"/>
        <w:color w:val="000000"/>
      </w:rPr>
    </w:lvl>
    <w:lvl w:ilvl="6">
      <w:start w:val="1"/>
      <w:numFmt w:val="decimal"/>
      <w:lvlText w:val="%7"/>
      <w:lvlJc w:val="left"/>
      <w:pPr>
        <w:ind w:left="3228" w:hanging="0"/>
      </w:pPr>
      <w:rPr>
        <w:dstrike w:val="false"/>
        <w:strike w:val="false"/>
        <w:vertAlign w:val="baseline"/>
        <w:position w:val="0"/>
        <w:sz w:val="22"/>
        <w:sz w:val="22"/>
        <w:i w:val="false"/>
        <w:u w:val="none" w:color="000000"/>
        <w:b w:val="false"/>
        <w:szCs w:val="22"/>
        <w:rFonts w:eastAsia="Calibri" w:cs="Calibri"/>
        <w:color w:val="000000"/>
      </w:rPr>
    </w:lvl>
    <w:lvl w:ilvl="7">
      <w:start w:val="1"/>
      <w:numFmt w:val="lowerLetter"/>
      <w:lvlText w:val="%8"/>
      <w:lvlJc w:val="left"/>
      <w:pPr>
        <w:ind w:left="3948" w:hanging="0"/>
      </w:pPr>
      <w:rPr>
        <w:dstrike w:val="false"/>
        <w:strike w:val="false"/>
        <w:vertAlign w:val="baseline"/>
        <w:position w:val="0"/>
        <w:sz w:val="22"/>
        <w:sz w:val="22"/>
        <w:i w:val="false"/>
        <w:u w:val="none" w:color="000000"/>
        <w:b w:val="false"/>
        <w:szCs w:val="22"/>
        <w:rFonts w:eastAsia="Calibri" w:cs="Calibri"/>
        <w:color w:val="000000"/>
      </w:rPr>
    </w:lvl>
    <w:lvl w:ilvl="8">
      <w:start w:val="1"/>
      <w:numFmt w:val="lowerRoman"/>
      <w:lvlText w:val="%9"/>
      <w:lvlJc w:val="left"/>
      <w:pPr>
        <w:ind w:left="4668" w:hanging="0"/>
      </w:pPr>
      <w:rPr>
        <w:dstrike w:val="false"/>
        <w:strike w:val="false"/>
        <w:vertAlign w:val="baseline"/>
        <w:position w:val="0"/>
        <w:sz w:val="22"/>
        <w:sz w:val="22"/>
        <w:i w:val="false"/>
        <w:u w:val="none" w:color="000000"/>
        <w:b w:val="false"/>
        <w:szCs w:val="22"/>
        <w:rFonts w:eastAsia="Calibri" w:cs="Calibri"/>
        <w:color w:val="000000"/>
      </w:rPr>
    </w:lvl>
  </w:abstractNum>
  <w:abstractNum w:abstractNumId="5">
    <w:lvl w:ilvl="0">
      <w:start w:val="1"/>
      <w:numFmt w:val="decimal"/>
      <w:lvlText w:val="%1)"/>
      <w:lvlJc w:val="left"/>
      <w:pPr>
        <w:ind w:left="1006" w:hanging="0"/>
      </w:pPr>
      <w:rPr>
        <w:dstrike w:val="false"/>
        <w:strike w:val="false"/>
        <w:vertAlign w:val="baseline"/>
        <w:position w:val="0"/>
        <w:sz w:val="22"/>
        <w:sz w:val="22"/>
        <w:i w:val="false"/>
        <w:u w:val="none" w:color="000000"/>
        <w:b w:val="false"/>
        <w:szCs w:val="22"/>
        <w:rFonts w:eastAsia="Calibri" w:cs="Calibri"/>
        <w:color w:val="000000"/>
      </w:rPr>
    </w:lvl>
    <w:lvl w:ilvl="1">
      <w:start w:val="1"/>
      <w:numFmt w:val="lowerLetter"/>
      <w:lvlText w:val="%2)"/>
      <w:lvlJc w:val="left"/>
      <w:pPr>
        <w:ind w:left="1572" w:hanging="0"/>
      </w:pPr>
      <w:rPr>
        <w:dstrike w:val="false"/>
        <w:strike w:val="false"/>
        <w:vertAlign w:val="baseline"/>
        <w:position w:val="0"/>
        <w:sz w:val="22"/>
        <w:sz w:val="22"/>
        <w:i w:val="false"/>
        <w:u w:val="none" w:color="000000"/>
        <w:b w:val="false"/>
        <w:szCs w:val="22"/>
        <w:rFonts w:eastAsia="Calibri" w:cs="Calibri"/>
        <w:color w:val="000000"/>
      </w:rPr>
    </w:lvl>
    <w:lvl w:ilvl="2">
      <w:start w:val="1"/>
      <w:numFmt w:val="lowerRoman"/>
      <w:lvlText w:val="%3"/>
      <w:lvlJc w:val="left"/>
      <w:pPr>
        <w:ind w:left="2213" w:hanging="0"/>
      </w:pPr>
      <w:rPr>
        <w:dstrike w:val="false"/>
        <w:strike w:val="false"/>
        <w:vertAlign w:val="baseline"/>
        <w:position w:val="0"/>
        <w:sz w:val="22"/>
        <w:sz w:val="22"/>
        <w:i w:val="false"/>
        <w:u w:val="none" w:color="000000"/>
        <w:b w:val="false"/>
        <w:szCs w:val="22"/>
        <w:rFonts w:eastAsia="Calibri" w:cs="Calibri"/>
        <w:color w:val="000000"/>
      </w:rPr>
    </w:lvl>
    <w:lvl w:ilvl="3">
      <w:start w:val="1"/>
      <w:numFmt w:val="decimal"/>
      <w:lvlText w:val="%4"/>
      <w:lvlJc w:val="left"/>
      <w:pPr>
        <w:ind w:left="2933" w:hanging="0"/>
      </w:pPr>
      <w:rPr>
        <w:dstrike w:val="false"/>
        <w:strike w:val="false"/>
        <w:vertAlign w:val="baseline"/>
        <w:position w:val="0"/>
        <w:sz w:val="22"/>
        <w:sz w:val="22"/>
        <w:i w:val="false"/>
        <w:u w:val="none" w:color="000000"/>
        <w:b w:val="false"/>
        <w:szCs w:val="22"/>
        <w:rFonts w:eastAsia="Calibri" w:cs="Calibri"/>
        <w:color w:val="000000"/>
      </w:rPr>
    </w:lvl>
    <w:lvl w:ilvl="4">
      <w:start w:val="1"/>
      <w:numFmt w:val="lowerLetter"/>
      <w:lvlText w:val="%5"/>
      <w:lvlJc w:val="left"/>
      <w:pPr>
        <w:ind w:left="3653" w:hanging="0"/>
      </w:pPr>
      <w:rPr>
        <w:dstrike w:val="false"/>
        <w:strike w:val="false"/>
        <w:vertAlign w:val="baseline"/>
        <w:position w:val="0"/>
        <w:sz w:val="22"/>
        <w:sz w:val="22"/>
        <w:i w:val="false"/>
        <w:u w:val="none" w:color="000000"/>
        <w:b w:val="false"/>
        <w:szCs w:val="22"/>
        <w:rFonts w:eastAsia="Calibri" w:cs="Calibri"/>
        <w:color w:val="000000"/>
      </w:rPr>
    </w:lvl>
    <w:lvl w:ilvl="5">
      <w:start w:val="1"/>
      <w:numFmt w:val="lowerRoman"/>
      <w:lvlText w:val="%6"/>
      <w:lvlJc w:val="left"/>
      <w:pPr>
        <w:ind w:left="4373" w:hanging="0"/>
      </w:pPr>
      <w:rPr>
        <w:dstrike w:val="false"/>
        <w:strike w:val="false"/>
        <w:vertAlign w:val="baseline"/>
        <w:position w:val="0"/>
        <w:sz w:val="22"/>
        <w:sz w:val="22"/>
        <w:i w:val="false"/>
        <w:u w:val="none" w:color="000000"/>
        <w:b w:val="false"/>
        <w:szCs w:val="22"/>
        <w:rFonts w:eastAsia="Calibri" w:cs="Calibri"/>
        <w:color w:val="000000"/>
      </w:rPr>
    </w:lvl>
    <w:lvl w:ilvl="6">
      <w:start w:val="1"/>
      <w:numFmt w:val="decimal"/>
      <w:lvlText w:val="%7"/>
      <w:lvlJc w:val="left"/>
      <w:pPr>
        <w:ind w:left="5093" w:hanging="0"/>
      </w:pPr>
      <w:rPr>
        <w:dstrike w:val="false"/>
        <w:strike w:val="false"/>
        <w:vertAlign w:val="baseline"/>
        <w:position w:val="0"/>
        <w:sz w:val="22"/>
        <w:sz w:val="22"/>
        <w:i w:val="false"/>
        <w:u w:val="none" w:color="000000"/>
        <w:b w:val="false"/>
        <w:szCs w:val="22"/>
        <w:rFonts w:eastAsia="Calibri" w:cs="Calibri"/>
        <w:color w:val="000000"/>
      </w:rPr>
    </w:lvl>
    <w:lvl w:ilvl="7">
      <w:start w:val="1"/>
      <w:numFmt w:val="lowerLetter"/>
      <w:lvlText w:val="%8"/>
      <w:lvlJc w:val="left"/>
      <w:pPr>
        <w:ind w:left="5813" w:hanging="0"/>
      </w:pPr>
      <w:rPr>
        <w:dstrike w:val="false"/>
        <w:strike w:val="false"/>
        <w:vertAlign w:val="baseline"/>
        <w:position w:val="0"/>
        <w:sz w:val="22"/>
        <w:sz w:val="22"/>
        <w:i w:val="false"/>
        <w:u w:val="none" w:color="000000"/>
        <w:b w:val="false"/>
        <w:szCs w:val="22"/>
        <w:rFonts w:eastAsia="Calibri" w:cs="Calibri"/>
        <w:color w:val="000000"/>
      </w:rPr>
    </w:lvl>
    <w:lvl w:ilvl="8">
      <w:start w:val="1"/>
      <w:numFmt w:val="lowerRoman"/>
      <w:lvlText w:val="%9"/>
      <w:lvlJc w:val="left"/>
      <w:pPr>
        <w:ind w:left="6533" w:hanging="0"/>
      </w:pPr>
      <w:rPr>
        <w:dstrike w:val="false"/>
        <w:strike w:val="false"/>
        <w:vertAlign w:val="baseline"/>
        <w:position w:val="0"/>
        <w:sz w:val="22"/>
        <w:sz w:val="22"/>
        <w:i w:val="false"/>
        <w:u w:val="none" w:color="000000"/>
        <w:b w:val="false"/>
        <w:szCs w:val="22"/>
        <w:rFonts w:eastAsia="Calibri" w:cs="Calibri"/>
        <w:color w:val="000000"/>
      </w:rPr>
    </w:lvl>
  </w:abstractNum>
  <w:abstractNum w:abstractNumId="6">
    <w:lvl w:ilvl="0">
      <w:start w:val="1"/>
      <w:numFmt w:val="decimal"/>
      <w:lvlText w:val="%1)"/>
      <w:lvlJc w:val="left"/>
      <w:pPr>
        <w:ind w:left="1006" w:hanging="0"/>
      </w:pPr>
      <w:rPr>
        <w:dstrike w:val="false"/>
        <w:strike w:val="false"/>
        <w:vertAlign w:val="baseline"/>
        <w:position w:val="0"/>
        <w:sz w:val="22"/>
        <w:sz w:val="22"/>
        <w:i w:val="false"/>
        <w:u w:val="none" w:color="000000"/>
        <w:b w:val="false"/>
        <w:szCs w:val="22"/>
        <w:rFonts w:eastAsia="Calibri" w:cs="Calibri"/>
        <w:color w:val="000000"/>
      </w:rPr>
    </w:lvl>
    <w:lvl w:ilvl="1">
      <w:start w:val="1"/>
      <w:numFmt w:val="lowerLetter"/>
      <w:lvlText w:val="%2"/>
      <w:lvlJc w:val="left"/>
      <w:pPr>
        <w:ind w:left="1788" w:hanging="0"/>
      </w:pPr>
      <w:rPr>
        <w:dstrike w:val="false"/>
        <w:strike w:val="false"/>
        <w:vertAlign w:val="baseline"/>
        <w:position w:val="0"/>
        <w:sz w:val="22"/>
        <w:sz w:val="22"/>
        <w:i w:val="false"/>
        <w:u w:val="none" w:color="000000"/>
        <w:b w:val="false"/>
        <w:szCs w:val="22"/>
        <w:rFonts w:eastAsia="Calibri" w:cs="Calibri"/>
        <w:color w:val="000000"/>
      </w:rPr>
    </w:lvl>
    <w:lvl w:ilvl="2">
      <w:start w:val="1"/>
      <w:numFmt w:val="lowerRoman"/>
      <w:lvlText w:val="%3"/>
      <w:lvlJc w:val="left"/>
      <w:pPr>
        <w:ind w:left="2508" w:hanging="0"/>
      </w:pPr>
      <w:rPr>
        <w:dstrike w:val="false"/>
        <w:strike w:val="false"/>
        <w:vertAlign w:val="baseline"/>
        <w:position w:val="0"/>
        <w:sz w:val="22"/>
        <w:sz w:val="22"/>
        <w:i w:val="false"/>
        <w:u w:val="none" w:color="000000"/>
        <w:b w:val="false"/>
        <w:szCs w:val="22"/>
        <w:rFonts w:eastAsia="Calibri" w:cs="Calibri"/>
        <w:color w:val="000000"/>
      </w:rPr>
    </w:lvl>
    <w:lvl w:ilvl="3">
      <w:start w:val="1"/>
      <w:numFmt w:val="decimal"/>
      <w:lvlText w:val="%4"/>
      <w:lvlJc w:val="left"/>
      <w:pPr>
        <w:ind w:left="3228" w:hanging="0"/>
      </w:pPr>
      <w:rPr>
        <w:dstrike w:val="false"/>
        <w:strike w:val="false"/>
        <w:vertAlign w:val="baseline"/>
        <w:position w:val="0"/>
        <w:sz w:val="22"/>
        <w:sz w:val="22"/>
        <w:i w:val="false"/>
        <w:u w:val="none" w:color="000000"/>
        <w:b w:val="false"/>
        <w:szCs w:val="22"/>
        <w:rFonts w:eastAsia="Calibri" w:cs="Calibri"/>
        <w:color w:val="000000"/>
      </w:rPr>
    </w:lvl>
    <w:lvl w:ilvl="4">
      <w:start w:val="1"/>
      <w:numFmt w:val="lowerLetter"/>
      <w:lvlText w:val="%5"/>
      <w:lvlJc w:val="left"/>
      <w:pPr>
        <w:ind w:left="3948" w:hanging="0"/>
      </w:pPr>
      <w:rPr>
        <w:dstrike w:val="false"/>
        <w:strike w:val="false"/>
        <w:vertAlign w:val="baseline"/>
        <w:position w:val="0"/>
        <w:sz w:val="22"/>
        <w:sz w:val="22"/>
        <w:i w:val="false"/>
        <w:u w:val="none" w:color="000000"/>
        <w:b w:val="false"/>
        <w:szCs w:val="22"/>
        <w:rFonts w:eastAsia="Calibri" w:cs="Calibri"/>
        <w:color w:val="000000"/>
      </w:rPr>
    </w:lvl>
    <w:lvl w:ilvl="5">
      <w:start w:val="1"/>
      <w:numFmt w:val="lowerRoman"/>
      <w:lvlText w:val="%6"/>
      <w:lvlJc w:val="left"/>
      <w:pPr>
        <w:ind w:left="4668" w:hanging="0"/>
      </w:pPr>
      <w:rPr>
        <w:dstrike w:val="false"/>
        <w:strike w:val="false"/>
        <w:vertAlign w:val="baseline"/>
        <w:position w:val="0"/>
        <w:sz w:val="22"/>
        <w:sz w:val="22"/>
        <w:i w:val="false"/>
        <w:u w:val="none" w:color="000000"/>
        <w:b w:val="false"/>
        <w:szCs w:val="22"/>
        <w:rFonts w:eastAsia="Calibri" w:cs="Calibri"/>
        <w:color w:val="000000"/>
      </w:rPr>
    </w:lvl>
    <w:lvl w:ilvl="6">
      <w:start w:val="1"/>
      <w:numFmt w:val="decimal"/>
      <w:lvlText w:val="%7"/>
      <w:lvlJc w:val="left"/>
      <w:pPr>
        <w:ind w:left="5388" w:hanging="0"/>
      </w:pPr>
      <w:rPr>
        <w:dstrike w:val="false"/>
        <w:strike w:val="false"/>
        <w:vertAlign w:val="baseline"/>
        <w:position w:val="0"/>
        <w:sz w:val="22"/>
        <w:sz w:val="22"/>
        <w:i w:val="false"/>
        <w:u w:val="none" w:color="000000"/>
        <w:b w:val="false"/>
        <w:szCs w:val="22"/>
        <w:rFonts w:eastAsia="Calibri" w:cs="Calibri"/>
        <w:color w:val="000000"/>
      </w:rPr>
    </w:lvl>
    <w:lvl w:ilvl="7">
      <w:start w:val="1"/>
      <w:numFmt w:val="lowerLetter"/>
      <w:lvlText w:val="%8"/>
      <w:lvlJc w:val="left"/>
      <w:pPr>
        <w:ind w:left="6108" w:hanging="0"/>
      </w:pPr>
      <w:rPr>
        <w:dstrike w:val="false"/>
        <w:strike w:val="false"/>
        <w:vertAlign w:val="baseline"/>
        <w:position w:val="0"/>
        <w:sz w:val="22"/>
        <w:sz w:val="22"/>
        <w:i w:val="false"/>
        <w:u w:val="none" w:color="000000"/>
        <w:b w:val="false"/>
        <w:szCs w:val="22"/>
        <w:rFonts w:eastAsia="Calibri" w:cs="Calibri"/>
        <w:color w:val="000000"/>
      </w:rPr>
    </w:lvl>
    <w:lvl w:ilvl="8">
      <w:start w:val="1"/>
      <w:numFmt w:val="lowerRoman"/>
      <w:lvlText w:val="%9"/>
      <w:lvlJc w:val="left"/>
      <w:pPr>
        <w:ind w:left="6828" w:hanging="0"/>
      </w:pPr>
      <w:rPr>
        <w:dstrike w:val="false"/>
        <w:strike w:val="false"/>
        <w:vertAlign w:val="baseline"/>
        <w:position w:val="0"/>
        <w:sz w:val="22"/>
        <w:sz w:val="22"/>
        <w:i w:val="false"/>
        <w:u w:val="none" w:color="000000"/>
        <w:b w:val="false"/>
        <w:szCs w:val="22"/>
        <w:rFonts w:eastAsia="Calibri" w:cs="Calibri"/>
        <w:color w:val="000000"/>
      </w:rPr>
    </w:lvl>
  </w:abstractNum>
  <w:abstractNum w:abstractNumId="7">
    <w:lvl w:ilvl="0">
      <w:start w:val="1"/>
      <w:numFmt w:val="decimal"/>
      <w:lvlText w:val="%1)"/>
      <w:lvlJc w:val="left"/>
      <w:pPr>
        <w:ind w:left="799" w:hanging="0"/>
      </w:pPr>
      <w:rPr>
        <w:dstrike w:val="false"/>
        <w:strike w:val="false"/>
        <w:vertAlign w:val="baseline"/>
        <w:position w:val="0"/>
        <w:sz w:val="22"/>
        <w:sz w:val="22"/>
        <w:i w:val="false"/>
        <w:u w:val="none" w:color="000000"/>
        <w:b w:val="false"/>
        <w:szCs w:val="22"/>
        <w:rFonts w:eastAsia="Calibri" w:cs="Calibri"/>
        <w:color w:val="000000"/>
      </w:rPr>
    </w:lvl>
    <w:lvl w:ilvl="1">
      <w:start w:val="1"/>
      <w:numFmt w:val="lowerLetter"/>
      <w:lvlText w:val="%2"/>
      <w:lvlJc w:val="left"/>
      <w:pPr>
        <w:ind w:left="1494" w:hanging="0"/>
      </w:pPr>
      <w:rPr>
        <w:dstrike w:val="false"/>
        <w:strike w:val="false"/>
        <w:vertAlign w:val="baseline"/>
        <w:position w:val="0"/>
        <w:sz w:val="22"/>
        <w:sz w:val="22"/>
        <w:i w:val="false"/>
        <w:u w:val="none" w:color="000000"/>
        <w:b w:val="false"/>
        <w:szCs w:val="22"/>
        <w:rFonts w:eastAsia="Calibri" w:cs="Calibri"/>
        <w:color w:val="000000"/>
      </w:rPr>
    </w:lvl>
    <w:lvl w:ilvl="2">
      <w:start w:val="1"/>
      <w:numFmt w:val="lowerRoman"/>
      <w:lvlText w:val="%3"/>
      <w:lvlJc w:val="left"/>
      <w:pPr>
        <w:ind w:left="2214" w:hanging="0"/>
      </w:pPr>
      <w:rPr>
        <w:dstrike w:val="false"/>
        <w:strike w:val="false"/>
        <w:vertAlign w:val="baseline"/>
        <w:position w:val="0"/>
        <w:sz w:val="22"/>
        <w:sz w:val="22"/>
        <w:i w:val="false"/>
        <w:u w:val="none" w:color="000000"/>
        <w:b w:val="false"/>
        <w:szCs w:val="22"/>
        <w:rFonts w:eastAsia="Calibri" w:cs="Calibri"/>
        <w:color w:val="000000"/>
      </w:rPr>
    </w:lvl>
    <w:lvl w:ilvl="3">
      <w:start w:val="1"/>
      <w:numFmt w:val="decimal"/>
      <w:lvlText w:val="%4"/>
      <w:lvlJc w:val="left"/>
      <w:pPr>
        <w:ind w:left="2934" w:hanging="0"/>
      </w:pPr>
      <w:rPr>
        <w:dstrike w:val="false"/>
        <w:strike w:val="false"/>
        <w:vertAlign w:val="baseline"/>
        <w:position w:val="0"/>
        <w:sz w:val="22"/>
        <w:sz w:val="22"/>
        <w:i w:val="false"/>
        <w:u w:val="none" w:color="000000"/>
        <w:b w:val="false"/>
        <w:szCs w:val="22"/>
        <w:rFonts w:eastAsia="Calibri" w:cs="Calibri"/>
        <w:color w:val="000000"/>
      </w:rPr>
    </w:lvl>
    <w:lvl w:ilvl="4">
      <w:start w:val="1"/>
      <w:numFmt w:val="lowerLetter"/>
      <w:lvlText w:val="%5"/>
      <w:lvlJc w:val="left"/>
      <w:pPr>
        <w:ind w:left="3654" w:hanging="0"/>
      </w:pPr>
      <w:rPr>
        <w:dstrike w:val="false"/>
        <w:strike w:val="false"/>
        <w:vertAlign w:val="baseline"/>
        <w:position w:val="0"/>
        <w:sz w:val="22"/>
        <w:sz w:val="22"/>
        <w:i w:val="false"/>
        <w:u w:val="none" w:color="000000"/>
        <w:b w:val="false"/>
        <w:szCs w:val="22"/>
        <w:rFonts w:eastAsia="Calibri" w:cs="Calibri"/>
        <w:color w:val="000000"/>
      </w:rPr>
    </w:lvl>
    <w:lvl w:ilvl="5">
      <w:start w:val="1"/>
      <w:numFmt w:val="lowerRoman"/>
      <w:lvlText w:val="%6"/>
      <w:lvlJc w:val="left"/>
      <w:pPr>
        <w:ind w:left="4374" w:hanging="0"/>
      </w:pPr>
      <w:rPr>
        <w:dstrike w:val="false"/>
        <w:strike w:val="false"/>
        <w:vertAlign w:val="baseline"/>
        <w:position w:val="0"/>
        <w:sz w:val="22"/>
        <w:sz w:val="22"/>
        <w:i w:val="false"/>
        <w:u w:val="none" w:color="000000"/>
        <w:b w:val="false"/>
        <w:szCs w:val="22"/>
        <w:rFonts w:eastAsia="Calibri" w:cs="Calibri"/>
        <w:color w:val="000000"/>
      </w:rPr>
    </w:lvl>
    <w:lvl w:ilvl="6">
      <w:start w:val="1"/>
      <w:numFmt w:val="decimal"/>
      <w:lvlText w:val="%7"/>
      <w:lvlJc w:val="left"/>
      <w:pPr>
        <w:ind w:left="5094" w:hanging="0"/>
      </w:pPr>
      <w:rPr>
        <w:dstrike w:val="false"/>
        <w:strike w:val="false"/>
        <w:vertAlign w:val="baseline"/>
        <w:position w:val="0"/>
        <w:sz w:val="22"/>
        <w:sz w:val="22"/>
        <w:i w:val="false"/>
        <w:u w:val="none" w:color="000000"/>
        <w:b w:val="false"/>
        <w:szCs w:val="22"/>
        <w:rFonts w:eastAsia="Calibri" w:cs="Calibri"/>
        <w:color w:val="000000"/>
      </w:rPr>
    </w:lvl>
    <w:lvl w:ilvl="7">
      <w:start w:val="1"/>
      <w:numFmt w:val="lowerLetter"/>
      <w:lvlText w:val="%8"/>
      <w:lvlJc w:val="left"/>
      <w:pPr>
        <w:ind w:left="5814" w:hanging="0"/>
      </w:pPr>
      <w:rPr>
        <w:dstrike w:val="false"/>
        <w:strike w:val="false"/>
        <w:vertAlign w:val="baseline"/>
        <w:position w:val="0"/>
        <w:sz w:val="22"/>
        <w:sz w:val="22"/>
        <w:i w:val="false"/>
        <w:u w:val="none" w:color="000000"/>
        <w:b w:val="false"/>
        <w:szCs w:val="22"/>
        <w:rFonts w:eastAsia="Calibri" w:cs="Calibri"/>
        <w:color w:val="000000"/>
      </w:rPr>
    </w:lvl>
    <w:lvl w:ilvl="8">
      <w:start w:val="1"/>
      <w:numFmt w:val="lowerRoman"/>
      <w:lvlText w:val="%9"/>
      <w:lvlJc w:val="left"/>
      <w:pPr>
        <w:ind w:left="6534" w:hanging="0"/>
      </w:pPr>
      <w:rPr>
        <w:dstrike w:val="false"/>
        <w:strike w:val="false"/>
        <w:vertAlign w:val="baseline"/>
        <w:position w:val="0"/>
        <w:sz w:val="22"/>
        <w:sz w:val="22"/>
        <w:i w:val="false"/>
        <w:u w:val="none" w:color="000000"/>
        <w:b w:val="false"/>
        <w:szCs w:val="22"/>
        <w:rFonts w:eastAsia="Calibri" w:cs="Calibri"/>
        <w:color w:val="000000"/>
      </w:rPr>
    </w:lvl>
  </w:abstractNum>
  <w:abstractNum w:abstractNumId="8">
    <w:lvl w:ilvl="0">
      <w:start w:val="1"/>
      <w:numFmt w:val="decimal"/>
      <w:lvlText w:val="%1)"/>
      <w:lvlJc w:val="left"/>
      <w:pPr>
        <w:ind w:left="998" w:hanging="0"/>
      </w:pPr>
      <w:rPr>
        <w:dstrike w:val="false"/>
        <w:strike w:val="false"/>
        <w:vertAlign w:val="baseline"/>
        <w:position w:val="0"/>
        <w:sz w:val="22"/>
        <w:sz w:val="22"/>
        <w:i w:val="false"/>
        <w:u w:val="none" w:color="000000"/>
        <w:b w:val="false"/>
        <w:szCs w:val="22"/>
        <w:rFonts w:eastAsia="Calibri" w:cs="Calibri"/>
        <w:color w:val="000000"/>
      </w:rPr>
    </w:lvl>
    <w:lvl w:ilvl="1">
      <w:start w:val="1"/>
      <w:numFmt w:val="lowerLetter"/>
      <w:lvlText w:val="%2"/>
      <w:lvlJc w:val="left"/>
      <w:pPr>
        <w:ind w:left="1800" w:hanging="0"/>
      </w:pPr>
      <w:rPr>
        <w:dstrike w:val="false"/>
        <w:strike w:val="false"/>
        <w:vertAlign w:val="baseline"/>
        <w:position w:val="0"/>
        <w:sz w:val="22"/>
        <w:sz w:val="22"/>
        <w:i w:val="false"/>
        <w:u w:val="none" w:color="000000"/>
        <w:b w:val="false"/>
        <w:szCs w:val="22"/>
        <w:rFonts w:eastAsia="Calibri" w:cs="Calibri"/>
        <w:color w:val="000000"/>
      </w:rPr>
    </w:lvl>
    <w:lvl w:ilvl="2">
      <w:start w:val="1"/>
      <w:numFmt w:val="lowerRoman"/>
      <w:lvlText w:val="%3"/>
      <w:lvlJc w:val="left"/>
      <w:pPr>
        <w:ind w:left="2520" w:hanging="0"/>
      </w:pPr>
      <w:rPr>
        <w:dstrike w:val="false"/>
        <w:strike w:val="false"/>
        <w:vertAlign w:val="baseline"/>
        <w:position w:val="0"/>
        <w:sz w:val="22"/>
        <w:sz w:val="22"/>
        <w:i w:val="false"/>
        <w:u w:val="none" w:color="000000"/>
        <w:b w:val="false"/>
        <w:szCs w:val="22"/>
        <w:rFonts w:eastAsia="Calibri" w:cs="Calibri"/>
        <w:color w:val="000000"/>
      </w:rPr>
    </w:lvl>
    <w:lvl w:ilvl="3">
      <w:start w:val="1"/>
      <w:numFmt w:val="decimal"/>
      <w:lvlText w:val="%4"/>
      <w:lvlJc w:val="left"/>
      <w:pPr>
        <w:ind w:left="3240" w:hanging="0"/>
      </w:pPr>
      <w:rPr>
        <w:dstrike w:val="false"/>
        <w:strike w:val="false"/>
        <w:vertAlign w:val="baseline"/>
        <w:position w:val="0"/>
        <w:sz w:val="22"/>
        <w:sz w:val="22"/>
        <w:i w:val="false"/>
        <w:u w:val="none" w:color="000000"/>
        <w:b w:val="false"/>
        <w:szCs w:val="22"/>
        <w:rFonts w:eastAsia="Calibri" w:cs="Calibri"/>
        <w:color w:val="000000"/>
      </w:rPr>
    </w:lvl>
    <w:lvl w:ilvl="4">
      <w:start w:val="1"/>
      <w:numFmt w:val="lowerLetter"/>
      <w:lvlText w:val="%5"/>
      <w:lvlJc w:val="left"/>
      <w:pPr>
        <w:ind w:left="3960" w:hanging="0"/>
      </w:pPr>
      <w:rPr>
        <w:dstrike w:val="false"/>
        <w:strike w:val="false"/>
        <w:vertAlign w:val="baseline"/>
        <w:position w:val="0"/>
        <w:sz w:val="22"/>
        <w:sz w:val="22"/>
        <w:i w:val="false"/>
        <w:u w:val="none" w:color="000000"/>
        <w:b w:val="false"/>
        <w:szCs w:val="22"/>
        <w:rFonts w:eastAsia="Calibri" w:cs="Calibri"/>
        <w:color w:val="000000"/>
      </w:rPr>
    </w:lvl>
    <w:lvl w:ilvl="5">
      <w:start w:val="1"/>
      <w:numFmt w:val="lowerRoman"/>
      <w:lvlText w:val="%6"/>
      <w:lvlJc w:val="left"/>
      <w:pPr>
        <w:ind w:left="4680" w:hanging="0"/>
      </w:pPr>
      <w:rPr>
        <w:dstrike w:val="false"/>
        <w:strike w:val="false"/>
        <w:vertAlign w:val="baseline"/>
        <w:position w:val="0"/>
        <w:sz w:val="22"/>
        <w:sz w:val="22"/>
        <w:i w:val="false"/>
        <w:u w:val="none" w:color="000000"/>
        <w:b w:val="false"/>
        <w:szCs w:val="22"/>
        <w:rFonts w:eastAsia="Calibri" w:cs="Calibri"/>
        <w:color w:val="000000"/>
      </w:rPr>
    </w:lvl>
    <w:lvl w:ilvl="6">
      <w:start w:val="1"/>
      <w:numFmt w:val="decimal"/>
      <w:lvlText w:val="%7"/>
      <w:lvlJc w:val="left"/>
      <w:pPr>
        <w:ind w:left="5400" w:hanging="0"/>
      </w:pPr>
      <w:rPr>
        <w:dstrike w:val="false"/>
        <w:strike w:val="false"/>
        <w:vertAlign w:val="baseline"/>
        <w:position w:val="0"/>
        <w:sz w:val="22"/>
        <w:sz w:val="22"/>
        <w:i w:val="false"/>
        <w:u w:val="none" w:color="000000"/>
        <w:b w:val="false"/>
        <w:szCs w:val="22"/>
        <w:rFonts w:eastAsia="Calibri" w:cs="Calibri"/>
        <w:color w:val="000000"/>
      </w:rPr>
    </w:lvl>
    <w:lvl w:ilvl="7">
      <w:start w:val="1"/>
      <w:numFmt w:val="lowerLetter"/>
      <w:lvlText w:val="%8"/>
      <w:lvlJc w:val="left"/>
      <w:pPr>
        <w:ind w:left="6120" w:hanging="0"/>
      </w:pPr>
      <w:rPr>
        <w:dstrike w:val="false"/>
        <w:strike w:val="false"/>
        <w:vertAlign w:val="baseline"/>
        <w:position w:val="0"/>
        <w:sz w:val="22"/>
        <w:sz w:val="22"/>
        <w:i w:val="false"/>
        <w:u w:val="none" w:color="000000"/>
        <w:b w:val="false"/>
        <w:szCs w:val="22"/>
        <w:rFonts w:eastAsia="Calibri" w:cs="Calibri"/>
        <w:color w:val="000000"/>
      </w:rPr>
    </w:lvl>
    <w:lvl w:ilvl="8">
      <w:start w:val="1"/>
      <w:numFmt w:val="lowerRoman"/>
      <w:lvlText w:val="%9"/>
      <w:lvlJc w:val="left"/>
      <w:pPr>
        <w:ind w:left="6840" w:hanging="0"/>
      </w:pPr>
      <w:rPr>
        <w:dstrike w:val="false"/>
        <w:strike w:val="false"/>
        <w:vertAlign w:val="baseline"/>
        <w:position w:val="0"/>
        <w:sz w:val="22"/>
        <w:sz w:val="22"/>
        <w:i w:val="false"/>
        <w:u w:val="none" w:color="000000"/>
        <w:b w:val="false"/>
        <w:szCs w:val="22"/>
        <w:rFonts w:eastAsia="Calibri" w:cs="Calibri"/>
        <w:color w:val="000000"/>
      </w:rPr>
    </w:lvl>
  </w:abstractNum>
  <w:abstractNum w:abstractNumId="9">
    <w:lvl w:ilvl="0">
      <w:start w:val="1"/>
      <w:numFmt w:val="decimal"/>
      <w:lvlText w:val="%1)"/>
      <w:lvlJc w:val="left"/>
      <w:pPr>
        <w:ind w:left="1006" w:hanging="0"/>
      </w:pPr>
      <w:rPr>
        <w:dstrike w:val="false"/>
        <w:strike w:val="false"/>
        <w:vertAlign w:val="baseline"/>
        <w:position w:val="0"/>
        <w:sz w:val="22"/>
        <w:sz w:val="22"/>
        <w:i w:val="false"/>
        <w:u w:val="none" w:color="000000"/>
        <w:b w:val="false"/>
        <w:szCs w:val="22"/>
        <w:rFonts w:eastAsia="Calibri" w:cs="Calibri"/>
        <w:color w:val="000000"/>
      </w:rPr>
    </w:lvl>
    <w:lvl w:ilvl="1">
      <w:start w:val="1"/>
      <w:numFmt w:val="lowerLetter"/>
      <w:lvlText w:val="%2"/>
      <w:lvlJc w:val="left"/>
      <w:pPr>
        <w:ind w:left="1800" w:hanging="0"/>
      </w:pPr>
      <w:rPr>
        <w:dstrike w:val="false"/>
        <w:strike w:val="false"/>
        <w:vertAlign w:val="baseline"/>
        <w:position w:val="0"/>
        <w:sz w:val="22"/>
        <w:sz w:val="22"/>
        <w:i w:val="false"/>
        <w:u w:val="none" w:color="000000"/>
        <w:b w:val="false"/>
        <w:szCs w:val="22"/>
        <w:rFonts w:eastAsia="Calibri" w:cs="Calibri"/>
        <w:color w:val="000000"/>
      </w:rPr>
    </w:lvl>
    <w:lvl w:ilvl="2">
      <w:start w:val="1"/>
      <w:numFmt w:val="lowerRoman"/>
      <w:lvlText w:val="%3"/>
      <w:lvlJc w:val="left"/>
      <w:pPr>
        <w:ind w:left="2520" w:hanging="0"/>
      </w:pPr>
      <w:rPr>
        <w:dstrike w:val="false"/>
        <w:strike w:val="false"/>
        <w:vertAlign w:val="baseline"/>
        <w:position w:val="0"/>
        <w:sz w:val="22"/>
        <w:sz w:val="22"/>
        <w:i w:val="false"/>
        <w:u w:val="none" w:color="000000"/>
        <w:b w:val="false"/>
        <w:szCs w:val="22"/>
        <w:rFonts w:eastAsia="Calibri" w:cs="Calibri"/>
        <w:color w:val="000000"/>
      </w:rPr>
    </w:lvl>
    <w:lvl w:ilvl="3">
      <w:start w:val="1"/>
      <w:numFmt w:val="decimal"/>
      <w:lvlText w:val="%4"/>
      <w:lvlJc w:val="left"/>
      <w:pPr>
        <w:ind w:left="3240" w:hanging="0"/>
      </w:pPr>
      <w:rPr>
        <w:dstrike w:val="false"/>
        <w:strike w:val="false"/>
        <w:vertAlign w:val="baseline"/>
        <w:position w:val="0"/>
        <w:sz w:val="22"/>
        <w:sz w:val="22"/>
        <w:i w:val="false"/>
        <w:u w:val="none" w:color="000000"/>
        <w:b w:val="false"/>
        <w:szCs w:val="22"/>
        <w:rFonts w:eastAsia="Calibri" w:cs="Calibri"/>
        <w:color w:val="000000"/>
      </w:rPr>
    </w:lvl>
    <w:lvl w:ilvl="4">
      <w:start w:val="1"/>
      <w:numFmt w:val="lowerLetter"/>
      <w:lvlText w:val="%5"/>
      <w:lvlJc w:val="left"/>
      <w:pPr>
        <w:ind w:left="3960" w:hanging="0"/>
      </w:pPr>
      <w:rPr>
        <w:dstrike w:val="false"/>
        <w:strike w:val="false"/>
        <w:vertAlign w:val="baseline"/>
        <w:position w:val="0"/>
        <w:sz w:val="22"/>
        <w:sz w:val="22"/>
        <w:i w:val="false"/>
        <w:u w:val="none" w:color="000000"/>
        <w:b w:val="false"/>
        <w:szCs w:val="22"/>
        <w:rFonts w:eastAsia="Calibri" w:cs="Calibri"/>
        <w:color w:val="000000"/>
      </w:rPr>
    </w:lvl>
    <w:lvl w:ilvl="5">
      <w:start w:val="1"/>
      <w:numFmt w:val="lowerRoman"/>
      <w:lvlText w:val="%6"/>
      <w:lvlJc w:val="left"/>
      <w:pPr>
        <w:ind w:left="4680" w:hanging="0"/>
      </w:pPr>
      <w:rPr>
        <w:dstrike w:val="false"/>
        <w:strike w:val="false"/>
        <w:vertAlign w:val="baseline"/>
        <w:position w:val="0"/>
        <w:sz w:val="22"/>
        <w:sz w:val="22"/>
        <w:i w:val="false"/>
        <w:u w:val="none" w:color="000000"/>
        <w:b w:val="false"/>
        <w:szCs w:val="22"/>
        <w:rFonts w:eastAsia="Calibri" w:cs="Calibri"/>
        <w:color w:val="000000"/>
      </w:rPr>
    </w:lvl>
    <w:lvl w:ilvl="6">
      <w:start w:val="1"/>
      <w:numFmt w:val="decimal"/>
      <w:lvlText w:val="%7"/>
      <w:lvlJc w:val="left"/>
      <w:pPr>
        <w:ind w:left="5400" w:hanging="0"/>
      </w:pPr>
      <w:rPr>
        <w:dstrike w:val="false"/>
        <w:strike w:val="false"/>
        <w:vertAlign w:val="baseline"/>
        <w:position w:val="0"/>
        <w:sz w:val="22"/>
        <w:sz w:val="22"/>
        <w:i w:val="false"/>
        <w:u w:val="none" w:color="000000"/>
        <w:b w:val="false"/>
        <w:szCs w:val="22"/>
        <w:rFonts w:eastAsia="Calibri" w:cs="Calibri"/>
        <w:color w:val="000000"/>
      </w:rPr>
    </w:lvl>
    <w:lvl w:ilvl="7">
      <w:start w:val="1"/>
      <w:numFmt w:val="lowerLetter"/>
      <w:lvlText w:val="%8"/>
      <w:lvlJc w:val="left"/>
      <w:pPr>
        <w:ind w:left="6120" w:hanging="0"/>
      </w:pPr>
      <w:rPr>
        <w:dstrike w:val="false"/>
        <w:strike w:val="false"/>
        <w:vertAlign w:val="baseline"/>
        <w:position w:val="0"/>
        <w:sz w:val="22"/>
        <w:sz w:val="22"/>
        <w:i w:val="false"/>
        <w:u w:val="none" w:color="000000"/>
        <w:b w:val="false"/>
        <w:szCs w:val="22"/>
        <w:rFonts w:eastAsia="Calibri" w:cs="Calibri"/>
        <w:color w:val="000000"/>
      </w:rPr>
    </w:lvl>
    <w:lvl w:ilvl="8">
      <w:start w:val="1"/>
      <w:numFmt w:val="lowerRoman"/>
      <w:lvlText w:val="%9"/>
      <w:lvlJc w:val="left"/>
      <w:pPr>
        <w:ind w:left="6840" w:hanging="0"/>
      </w:pPr>
      <w:rPr>
        <w:dstrike w:val="false"/>
        <w:strike w:val="false"/>
        <w:vertAlign w:val="baseline"/>
        <w:position w:val="0"/>
        <w:sz w:val="22"/>
        <w:sz w:val="22"/>
        <w:i w:val="false"/>
        <w:u w:val="none" w:color="000000"/>
        <w:b w:val="false"/>
        <w:szCs w:val="22"/>
        <w:rFonts w:eastAsia="Calibri" w:cs="Calibri"/>
        <w:color w:val="000000"/>
      </w:rPr>
    </w:lvl>
  </w:abstractNum>
  <w:abstractNum w:abstractNumId="10">
    <w:lvl w:ilvl="0">
      <w:start w:val="1"/>
      <w:numFmt w:val="bullet"/>
      <w:lvlText w:val="-"/>
      <w:lvlJc w:val="left"/>
      <w:pPr>
        <w:ind w:left="1032" w:hanging="0"/>
      </w:pPr>
      <w:rPr>
        <w:rFonts w:ascii="Tahoma" w:hAnsi="Tahoma" w:cs="Tahoma" w:hint="default"/>
        <w:dstrike w:val="false"/>
        <w:strike w:val="false"/>
        <w:vertAlign w:val="baseline"/>
        <w:position w:val="0"/>
        <w:sz w:val="22"/>
        <w:sz w:val="22"/>
        <w:i w:val="false"/>
        <w:u w:val="none" w:color="000000"/>
        <w:b w:val="false"/>
        <w:szCs w:val="22"/>
        <w:rFonts w:cs="Tahoma"/>
        <w:color w:val="000000"/>
      </w:rPr>
    </w:lvl>
    <w:lvl w:ilvl="1">
      <w:start w:val="1"/>
      <w:numFmt w:val="bullet"/>
      <w:lvlText w:val="o"/>
      <w:lvlJc w:val="left"/>
      <w:pPr>
        <w:ind w:left="1800" w:hanging="0"/>
      </w:pPr>
      <w:rPr>
        <w:rFonts w:ascii="Tahoma" w:hAnsi="Tahoma" w:cs="Tahoma" w:hint="default"/>
        <w:dstrike w:val="false"/>
        <w:strike w:val="false"/>
        <w:vertAlign w:val="baseline"/>
        <w:position w:val="0"/>
        <w:sz w:val="22"/>
        <w:sz w:val="22"/>
        <w:i w:val="false"/>
        <w:u w:val="none" w:color="000000"/>
        <w:b w:val="false"/>
        <w:szCs w:val="22"/>
        <w:rFonts w:cs="Tahoma"/>
        <w:color w:val="000000"/>
      </w:rPr>
    </w:lvl>
    <w:lvl w:ilvl="2">
      <w:start w:val="1"/>
      <w:numFmt w:val="bullet"/>
      <w:lvlText w:val="▪"/>
      <w:lvlJc w:val="left"/>
      <w:pPr>
        <w:ind w:left="2520" w:hanging="0"/>
      </w:pPr>
      <w:rPr>
        <w:rFonts w:ascii="Tahoma" w:hAnsi="Tahoma" w:cs="Tahoma" w:hint="default"/>
        <w:dstrike w:val="false"/>
        <w:strike w:val="false"/>
        <w:vertAlign w:val="baseline"/>
        <w:position w:val="0"/>
        <w:sz w:val="22"/>
        <w:sz w:val="22"/>
        <w:i w:val="false"/>
        <w:u w:val="none" w:color="000000"/>
        <w:b w:val="false"/>
        <w:szCs w:val="22"/>
        <w:rFonts w:cs="Tahoma"/>
        <w:color w:val="000000"/>
      </w:rPr>
    </w:lvl>
    <w:lvl w:ilvl="3">
      <w:start w:val="1"/>
      <w:numFmt w:val="bullet"/>
      <w:lvlText w:val="•"/>
      <w:lvlJc w:val="left"/>
      <w:pPr>
        <w:ind w:left="3240" w:hanging="0"/>
      </w:pPr>
      <w:rPr>
        <w:rFonts w:ascii="Tahoma" w:hAnsi="Tahoma" w:cs="Tahoma" w:hint="default"/>
        <w:dstrike w:val="false"/>
        <w:strike w:val="false"/>
        <w:vertAlign w:val="baseline"/>
        <w:position w:val="0"/>
        <w:sz w:val="22"/>
        <w:sz w:val="22"/>
        <w:i w:val="false"/>
        <w:u w:val="none" w:color="000000"/>
        <w:b w:val="false"/>
        <w:szCs w:val="22"/>
        <w:rFonts w:cs="Tahoma"/>
        <w:color w:val="000000"/>
      </w:rPr>
    </w:lvl>
    <w:lvl w:ilvl="4">
      <w:start w:val="1"/>
      <w:numFmt w:val="bullet"/>
      <w:lvlText w:val="o"/>
      <w:lvlJc w:val="left"/>
      <w:pPr>
        <w:ind w:left="3960" w:hanging="0"/>
      </w:pPr>
      <w:rPr>
        <w:rFonts w:ascii="Tahoma" w:hAnsi="Tahoma" w:cs="Tahoma" w:hint="default"/>
        <w:dstrike w:val="false"/>
        <w:strike w:val="false"/>
        <w:vertAlign w:val="baseline"/>
        <w:position w:val="0"/>
        <w:sz w:val="22"/>
        <w:sz w:val="22"/>
        <w:i w:val="false"/>
        <w:u w:val="none" w:color="000000"/>
        <w:b w:val="false"/>
        <w:szCs w:val="22"/>
        <w:rFonts w:cs="Tahoma"/>
        <w:color w:val="000000"/>
      </w:rPr>
    </w:lvl>
    <w:lvl w:ilvl="5">
      <w:start w:val="1"/>
      <w:numFmt w:val="bullet"/>
      <w:lvlText w:val="▪"/>
      <w:lvlJc w:val="left"/>
      <w:pPr>
        <w:ind w:left="4680" w:hanging="0"/>
      </w:pPr>
      <w:rPr>
        <w:rFonts w:ascii="Tahoma" w:hAnsi="Tahoma" w:cs="Tahoma" w:hint="default"/>
        <w:dstrike w:val="false"/>
        <w:strike w:val="false"/>
        <w:vertAlign w:val="baseline"/>
        <w:position w:val="0"/>
        <w:sz w:val="22"/>
        <w:sz w:val="22"/>
        <w:i w:val="false"/>
        <w:u w:val="none" w:color="000000"/>
        <w:b w:val="false"/>
        <w:szCs w:val="22"/>
        <w:rFonts w:cs="Tahoma"/>
        <w:color w:val="000000"/>
      </w:rPr>
    </w:lvl>
    <w:lvl w:ilvl="6">
      <w:start w:val="1"/>
      <w:numFmt w:val="bullet"/>
      <w:lvlText w:val="•"/>
      <w:lvlJc w:val="left"/>
      <w:pPr>
        <w:ind w:left="5400" w:hanging="0"/>
      </w:pPr>
      <w:rPr>
        <w:rFonts w:ascii="Tahoma" w:hAnsi="Tahoma" w:cs="Tahoma" w:hint="default"/>
        <w:dstrike w:val="false"/>
        <w:strike w:val="false"/>
        <w:vertAlign w:val="baseline"/>
        <w:position w:val="0"/>
        <w:sz w:val="22"/>
        <w:sz w:val="22"/>
        <w:i w:val="false"/>
        <w:u w:val="none" w:color="000000"/>
        <w:b w:val="false"/>
        <w:szCs w:val="22"/>
        <w:rFonts w:cs="Tahoma"/>
        <w:color w:val="000000"/>
      </w:rPr>
    </w:lvl>
    <w:lvl w:ilvl="7">
      <w:start w:val="1"/>
      <w:numFmt w:val="bullet"/>
      <w:lvlText w:val="o"/>
      <w:lvlJc w:val="left"/>
      <w:pPr>
        <w:ind w:left="6120" w:hanging="0"/>
      </w:pPr>
      <w:rPr>
        <w:rFonts w:ascii="Tahoma" w:hAnsi="Tahoma" w:cs="Tahoma" w:hint="default"/>
        <w:dstrike w:val="false"/>
        <w:strike w:val="false"/>
        <w:vertAlign w:val="baseline"/>
        <w:position w:val="0"/>
        <w:sz w:val="22"/>
        <w:sz w:val="22"/>
        <w:i w:val="false"/>
        <w:u w:val="none" w:color="000000"/>
        <w:b w:val="false"/>
        <w:szCs w:val="22"/>
        <w:rFonts w:cs="Tahoma"/>
        <w:color w:val="000000"/>
      </w:rPr>
    </w:lvl>
    <w:lvl w:ilvl="8">
      <w:start w:val="1"/>
      <w:numFmt w:val="bullet"/>
      <w:lvlText w:val="▪"/>
      <w:lvlJc w:val="left"/>
      <w:pPr>
        <w:ind w:left="6840" w:hanging="0"/>
      </w:pPr>
      <w:rPr>
        <w:rFonts w:ascii="Tahoma" w:hAnsi="Tahoma" w:cs="Tahoma" w:hint="default"/>
        <w:dstrike w:val="false"/>
        <w:strike w:val="false"/>
        <w:vertAlign w:val="baseline"/>
        <w:position w:val="0"/>
        <w:sz w:val="22"/>
        <w:sz w:val="22"/>
        <w:i w:val="false"/>
        <w:u w:val="none" w:color="000000"/>
        <w:b w:val="false"/>
        <w:szCs w:val="22"/>
        <w:rFonts w:cs="Tahoma"/>
        <w:color w:val="000000"/>
      </w:rPr>
    </w:lvl>
  </w:abstractNum>
  <w:abstractNum w:abstractNumId="11">
    <w:lvl w:ilvl="0">
      <w:start w:val="1"/>
      <w:numFmt w:val="decimal"/>
      <w:lvlText w:val="%1."/>
      <w:lvlJc w:val="left"/>
      <w:pPr>
        <w:ind w:left="0" w:hanging="0"/>
      </w:pPr>
      <w:rPr>
        <w:smallCaps w:val="false"/>
        <w:caps w:val="false"/>
        <w:outline w:val="false"/>
        <w:dstrike w:val="false"/>
        <w:strike w:val="false"/>
        <w:vertAlign w:val="baseline"/>
        <w:position w:val="0"/>
        <w:sz w:val="22"/>
        <w:sz w:val="22"/>
        <w:spacing w:val="0"/>
        <w:i w:val="false"/>
        <w:shadow w:val="false"/>
        <w:u w:val="none"/>
        <w:b w:val="false"/>
        <w:kern w:val="0"/>
        <w:effect w:val="none"/>
        <w:iCs w:val="false"/>
        <w:bCs w:val="false"/>
        <w:em w:val="none"/>
        <w:emboss w:val="false"/>
        <w:imprint w:val="false"/>
        <w:vanish w:val="false"/>
        <w:color w:val="000000"/>
      </w:rPr>
    </w:lvl>
    <w:lvl w:ilvl="1">
      <w:start w:val="1"/>
      <w:numFmt w:val="lowerLetter"/>
      <w:lvlText w:val="%2"/>
      <w:lvlJc w:val="left"/>
      <w:pPr>
        <w:ind w:left="1239" w:hanging="0"/>
      </w:pPr>
      <w:rPr>
        <w:dstrike w:val="false"/>
        <w:strike w:val="false"/>
        <w:vertAlign w:val="baseline"/>
        <w:position w:val="0"/>
        <w:sz w:val="32"/>
        <w:sz w:val="32"/>
        <w:i w:val="false"/>
        <w:u w:val="none" w:color="000000"/>
        <w:b/>
        <w:szCs w:val="32"/>
        <w:bCs/>
        <w:rFonts w:eastAsia="Calibri" w:cs="Calibri"/>
        <w:color w:val="2E74B5"/>
      </w:rPr>
    </w:lvl>
    <w:lvl w:ilvl="2">
      <w:start w:val="1"/>
      <w:numFmt w:val="lowerRoman"/>
      <w:lvlText w:val="%3"/>
      <w:lvlJc w:val="left"/>
      <w:pPr>
        <w:ind w:left="1959" w:hanging="0"/>
      </w:pPr>
      <w:rPr>
        <w:dstrike w:val="false"/>
        <w:strike w:val="false"/>
        <w:vertAlign w:val="baseline"/>
        <w:position w:val="0"/>
        <w:sz w:val="32"/>
        <w:sz w:val="32"/>
        <w:i w:val="false"/>
        <w:u w:val="none" w:color="000000"/>
        <w:b/>
        <w:szCs w:val="32"/>
        <w:bCs/>
        <w:rFonts w:eastAsia="Calibri" w:cs="Calibri"/>
        <w:color w:val="2E74B5"/>
      </w:rPr>
    </w:lvl>
    <w:lvl w:ilvl="3">
      <w:start w:val="1"/>
      <w:numFmt w:val="decimal"/>
      <w:lvlText w:val="%4"/>
      <w:lvlJc w:val="left"/>
      <w:pPr>
        <w:ind w:left="2679" w:hanging="0"/>
      </w:pPr>
      <w:rPr>
        <w:dstrike w:val="false"/>
        <w:strike w:val="false"/>
        <w:vertAlign w:val="baseline"/>
        <w:position w:val="0"/>
        <w:sz w:val="32"/>
        <w:sz w:val="32"/>
        <w:i w:val="false"/>
        <w:u w:val="none" w:color="000000"/>
        <w:b/>
        <w:szCs w:val="32"/>
        <w:bCs/>
        <w:rFonts w:eastAsia="Calibri" w:cs="Calibri"/>
        <w:color w:val="2E74B5"/>
      </w:rPr>
    </w:lvl>
    <w:lvl w:ilvl="4">
      <w:start w:val="1"/>
      <w:numFmt w:val="lowerLetter"/>
      <w:lvlText w:val="%5"/>
      <w:lvlJc w:val="left"/>
      <w:pPr>
        <w:ind w:left="3399" w:hanging="0"/>
      </w:pPr>
      <w:rPr>
        <w:dstrike w:val="false"/>
        <w:strike w:val="false"/>
        <w:vertAlign w:val="baseline"/>
        <w:position w:val="0"/>
        <w:sz w:val="32"/>
        <w:sz w:val="32"/>
        <w:i w:val="false"/>
        <w:u w:val="none" w:color="000000"/>
        <w:b/>
        <w:szCs w:val="32"/>
        <w:bCs/>
        <w:rFonts w:eastAsia="Calibri" w:cs="Calibri"/>
        <w:color w:val="2E74B5"/>
      </w:rPr>
    </w:lvl>
    <w:lvl w:ilvl="5">
      <w:start w:val="1"/>
      <w:numFmt w:val="lowerRoman"/>
      <w:lvlText w:val="%6"/>
      <w:lvlJc w:val="left"/>
      <w:pPr>
        <w:ind w:left="4119" w:hanging="0"/>
      </w:pPr>
      <w:rPr>
        <w:dstrike w:val="false"/>
        <w:strike w:val="false"/>
        <w:vertAlign w:val="baseline"/>
        <w:position w:val="0"/>
        <w:sz w:val="32"/>
        <w:sz w:val="32"/>
        <w:i w:val="false"/>
        <w:u w:val="none" w:color="000000"/>
        <w:b/>
        <w:szCs w:val="32"/>
        <w:bCs/>
        <w:rFonts w:eastAsia="Calibri" w:cs="Calibri"/>
        <w:color w:val="2E74B5"/>
      </w:rPr>
    </w:lvl>
    <w:lvl w:ilvl="6">
      <w:start w:val="1"/>
      <w:numFmt w:val="decimal"/>
      <w:lvlText w:val="%7"/>
      <w:lvlJc w:val="left"/>
      <w:pPr>
        <w:ind w:left="4839" w:hanging="0"/>
      </w:pPr>
      <w:rPr>
        <w:dstrike w:val="false"/>
        <w:strike w:val="false"/>
        <w:vertAlign w:val="baseline"/>
        <w:position w:val="0"/>
        <w:sz w:val="32"/>
        <w:sz w:val="32"/>
        <w:i w:val="false"/>
        <w:u w:val="none" w:color="000000"/>
        <w:b/>
        <w:szCs w:val="32"/>
        <w:bCs/>
        <w:rFonts w:eastAsia="Calibri" w:cs="Calibri"/>
        <w:color w:val="2E74B5"/>
      </w:rPr>
    </w:lvl>
    <w:lvl w:ilvl="7">
      <w:start w:val="1"/>
      <w:numFmt w:val="lowerLetter"/>
      <w:lvlText w:val="%8"/>
      <w:lvlJc w:val="left"/>
      <w:pPr>
        <w:ind w:left="5559" w:hanging="0"/>
      </w:pPr>
      <w:rPr>
        <w:dstrike w:val="false"/>
        <w:strike w:val="false"/>
        <w:vertAlign w:val="baseline"/>
        <w:position w:val="0"/>
        <w:sz w:val="32"/>
        <w:sz w:val="32"/>
        <w:i w:val="false"/>
        <w:u w:val="none" w:color="000000"/>
        <w:b/>
        <w:szCs w:val="32"/>
        <w:bCs/>
        <w:rFonts w:eastAsia="Calibri" w:cs="Calibri"/>
        <w:color w:val="2E74B5"/>
      </w:rPr>
    </w:lvl>
    <w:lvl w:ilvl="8">
      <w:start w:val="1"/>
      <w:numFmt w:val="lowerRoman"/>
      <w:lvlText w:val="%9"/>
      <w:lvlJc w:val="left"/>
      <w:pPr>
        <w:ind w:left="6279" w:hanging="0"/>
      </w:pPr>
      <w:rPr>
        <w:dstrike w:val="false"/>
        <w:strike w:val="false"/>
        <w:vertAlign w:val="baseline"/>
        <w:position w:val="0"/>
        <w:sz w:val="32"/>
        <w:sz w:val="32"/>
        <w:i w:val="false"/>
        <w:u w:val="none" w:color="000000"/>
        <w:b/>
        <w:szCs w:val="32"/>
        <w:bCs/>
        <w:rFonts w:eastAsia="Calibri" w:cs="Calibri"/>
        <w:color w:val="2E74B5"/>
      </w:rPr>
    </w:lvl>
  </w:abstractNum>
  <w:abstractNum w:abstractNumId="12">
    <w:lvl w:ilvl="0">
      <w:start w:val="1"/>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13">
    <w:lvl w:ilvl="0">
      <w:start w:val="1"/>
      <w:numFmt w:val="decimal"/>
      <w:lvlText w:val="%1."/>
      <w:lvlJc w:val="left"/>
      <w:pPr>
        <w:ind w:left="360" w:hanging="360"/>
      </w:pPr>
    </w:lvl>
    <w:lvl w:ilvl="1">
      <w:start w:val="1"/>
      <w:numFmt w:val="decimal"/>
      <w:lvlText w:val="%1.%2."/>
      <w:lvlJc w:val="left"/>
      <w:pPr>
        <w:ind w:left="792" w:hanging="432"/>
      </w:pPr>
      <w:rPr>
        <w:b w:val="false"/>
        <w:bCs w:val="false"/>
      </w:rPr>
    </w:lvl>
    <w:lvl w:ilvl="2">
      <w:start w:val="1"/>
      <w:numFmt w:val="decimal"/>
      <w:lvlText w:val="%1.%2.%3."/>
      <w:lvlJc w:val="left"/>
      <w:pPr>
        <w:ind w:left="1224" w:hanging="504"/>
      </w:pPr>
      <w:rPr>
        <w:b w:val="false"/>
        <w:bCs w:val="false"/>
      </w:rPr>
    </w:lvl>
    <w:lvl w:ilvl="3">
      <w:start w:val="1"/>
      <w:numFmt w:val="decimal"/>
      <w:lvlText w:val="%1.%2.%3.%4."/>
      <w:lvlJc w:val="left"/>
      <w:pPr>
        <w:ind w:left="1728" w:hanging="648"/>
      </w:pPr>
      <w:rPr>
        <w:b w:val="false"/>
        <w:bCs w:val="false"/>
      </w:rPr>
    </w:lvl>
    <w:lvl w:ilvl="4">
      <w:start w:val="1"/>
      <w:numFmt w:val="lowerLetter"/>
      <w:lvlText w:val="%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lvl w:ilvl="0">
      <w:start w:val="1"/>
      <w:numFmt w:val="decimal"/>
      <w:lvlText w:val="%1)"/>
      <w:lvlJc w:val="left"/>
      <w:pPr>
        <w:ind w:left="1287" w:hanging="360"/>
      </w:pPr>
      <w:rPr>
        <w:dstrike w:val="false"/>
        <w:strike w:val="false"/>
      </w:rPr>
    </w:lvl>
    <w:lvl w:ilvl="1">
      <w:start w:val="1"/>
      <w:numFmt w:val="lowerLetter"/>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15">
    <w:lvl w:ilvl="0">
      <w:start w:val="1"/>
      <w:numFmt w:val="bullet"/>
      <w:lvlText w:val=""/>
      <w:lvlJc w:val="left"/>
      <w:pPr>
        <w:ind w:left="1571" w:hanging="360"/>
      </w:pPr>
      <w:rPr>
        <w:rFonts w:ascii="Wingdings" w:hAnsi="Wingdings" w:cs="Wingdings" w:hint="default"/>
        <w:rFonts w:cs="Wingdings"/>
      </w:rPr>
    </w:lvl>
    <w:lvl w:ilvl="1">
      <w:start w:val="1"/>
      <w:numFmt w:val="bullet"/>
      <w:lvlText w:val="o"/>
      <w:lvlJc w:val="left"/>
      <w:pPr>
        <w:ind w:left="2291" w:hanging="360"/>
      </w:pPr>
      <w:rPr>
        <w:rFonts w:ascii="Courier New" w:hAnsi="Courier New" w:cs="Courier New" w:hint="default"/>
        <w:rFonts w:cs="Courier New"/>
      </w:rPr>
    </w:lvl>
    <w:lvl w:ilvl="2">
      <w:start w:val="1"/>
      <w:numFmt w:val="bullet"/>
      <w:lvlText w:val=""/>
      <w:lvlJc w:val="left"/>
      <w:pPr>
        <w:ind w:left="3011" w:hanging="360"/>
      </w:pPr>
      <w:rPr>
        <w:rFonts w:ascii="Wingdings" w:hAnsi="Wingdings" w:cs="Wingdings" w:hint="default"/>
        <w:rFonts w:cs="Wingdings"/>
      </w:rPr>
    </w:lvl>
    <w:lvl w:ilvl="3">
      <w:start w:val="1"/>
      <w:numFmt w:val="bullet"/>
      <w:lvlText w:val=""/>
      <w:lvlJc w:val="left"/>
      <w:pPr>
        <w:ind w:left="3731" w:hanging="360"/>
      </w:pPr>
      <w:rPr>
        <w:rFonts w:ascii="Symbol" w:hAnsi="Symbol" w:cs="Symbol" w:hint="default"/>
        <w:rFonts w:cs="Symbol"/>
      </w:rPr>
    </w:lvl>
    <w:lvl w:ilvl="4">
      <w:start w:val="1"/>
      <w:numFmt w:val="bullet"/>
      <w:lvlText w:val="o"/>
      <w:lvlJc w:val="left"/>
      <w:pPr>
        <w:ind w:left="4451" w:hanging="360"/>
      </w:pPr>
      <w:rPr>
        <w:rFonts w:ascii="Courier New" w:hAnsi="Courier New" w:cs="Courier New" w:hint="default"/>
        <w:rFonts w:cs="Courier New"/>
      </w:rPr>
    </w:lvl>
    <w:lvl w:ilvl="5">
      <w:start w:val="1"/>
      <w:numFmt w:val="bullet"/>
      <w:lvlText w:val=""/>
      <w:lvlJc w:val="left"/>
      <w:pPr>
        <w:ind w:left="5171" w:hanging="360"/>
      </w:pPr>
      <w:rPr>
        <w:rFonts w:ascii="Wingdings" w:hAnsi="Wingdings" w:cs="Wingdings" w:hint="default"/>
        <w:rFonts w:cs="Wingdings"/>
      </w:rPr>
    </w:lvl>
    <w:lvl w:ilvl="6">
      <w:start w:val="1"/>
      <w:numFmt w:val="bullet"/>
      <w:lvlText w:val=""/>
      <w:lvlJc w:val="left"/>
      <w:pPr>
        <w:ind w:left="5891" w:hanging="360"/>
      </w:pPr>
      <w:rPr>
        <w:rFonts w:ascii="Symbol" w:hAnsi="Symbol" w:cs="Symbol" w:hint="default"/>
        <w:rFonts w:cs="Symbol"/>
      </w:rPr>
    </w:lvl>
    <w:lvl w:ilvl="7">
      <w:start w:val="1"/>
      <w:numFmt w:val="bullet"/>
      <w:lvlText w:val="o"/>
      <w:lvlJc w:val="left"/>
      <w:pPr>
        <w:ind w:left="6611" w:hanging="360"/>
      </w:pPr>
      <w:rPr>
        <w:rFonts w:ascii="Courier New" w:hAnsi="Courier New" w:cs="Courier New" w:hint="default"/>
        <w:rFonts w:cs="Courier New"/>
      </w:rPr>
    </w:lvl>
    <w:lvl w:ilvl="8">
      <w:start w:val="1"/>
      <w:numFmt w:val="bullet"/>
      <w:lvlText w:val=""/>
      <w:lvlJc w:val="left"/>
      <w:pPr>
        <w:ind w:left="7331" w:hanging="360"/>
      </w:pPr>
      <w:rPr>
        <w:rFonts w:ascii="Wingdings" w:hAnsi="Wingdings" w:cs="Wingdings" w:hint="default"/>
        <w:rFonts w:cs="Wingdings"/>
      </w:rPr>
    </w:lvl>
  </w:abstractNum>
  <w:abstractNum w:abstractNumId="1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lvl w:ilvl="0">
      <w:start w:val="1"/>
      <w:numFmt w:val="bullet"/>
      <w:lvlText w:val=""/>
      <w:lvlJc w:val="left"/>
      <w:pPr>
        <w:ind w:left="720" w:hanging="360"/>
      </w:pPr>
      <w:rPr>
        <w:rFonts w:ascii="Wingdings" w:hAnsi="Wingdings" w:cs="Wingdings" w:hint="default"/>
        <w:rFonts w:cs="Wingdings"/>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Fonts w:cs="Wingdings"/>
      </w:rPr>
    </w:lvl>
    <w:lvl w:ilvl="3">
      <w:start w:val="1"/>
      <w:numFmt w:val="bullet"/>
      <w:lvlText w:val=""/>
      <w:lvlJc w:val="left"/>
      <w:pPr>
        <w:ind w:left="2880" w:hanging="360"/>
      </w:pPr>
      <w:rPr>
        <w:rFonts w:ascii="Symbol" w:hAnsi="Symbol" w:cs="Symbol" w:hint="default"/>
        <w:rFonts w:cs="Symbol"/>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Fonts w:cs="Wingdings"/>
      </w:rPr>
    </w:lvl>
    <w:lvl w:ilvl="6">
      <w:start w:val="1"/>
      <w:numFmt w:val="bullet"/>
      <w:lvlText w:val=""/>
      <w:lvlJc w:val="left"/>
      <w:pPr>
        <w:ind w:left="5040" w:hanging="360"/>
      </w:pPr>
      <w:rPr>
        <w:rFonts w:ascii="Symbol" w:hAnsi="Symbol" w:cs="Symbol" w:hint="default"/>
        <w:rFonts w:cs="Symbol"/>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Fonts w:cs="Wingdings"/>
      </w:rPr>
    </w:lvl>
  </w:abstractNum>
  <w:abstractNum w:abstractNumId="18">
    <w:lvl w:ilvl="0">
      <w:start w:val="1"/>
      <w:numFmt w:val="bullet"/>
      <w:lvlText w:val=""/>
      <w:lvlJc w:val="left"/>
      <w:pPr>
        <w:ind w:left="720" w:hanging="360"/>
      </w:pPr>
      <w:rPr>
        <w:rFonts w:ascii="Wingdings" w:hAnsi="Wingdings" w:cs="Wingdings" w:hint="default"/>
        <w:rFonts w:cs="Wingdings"/>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Fonts w:cs="Wingdings"/>
      </w:rPr>
    </w:lvl>
    <w:lvl w:ilvl="3">
      <w:start w:val="1"/>
      <w:numFmt w:val="bullet"/>
      <w:lvlText w:val=""/>
      <w:lvlJc w:val="left"/>
      <w:pPr>
        <w:ind w:left="2880" w:hanging="360"/>
      </w:pPr>
      <w:rPr>
        <w:rFonts w:ascii="Symbol" w:hAnsi="Symbol" w:cs="Symbol" w:hint="default"/>
        <w:rFonts w:cs="Symbol"/>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Fonts w:cs="Wingdings"/>
      </w:rPr>
    </w:lvl>
    <w:lvl w:ilvl="6">
      <w:start w:val="1"/>
      <w:numFmt w:val="bullet"/>
      <w:lvlText w:val=""/>
      <w:lvlJc w:val="left"/>
      <w:pPr>
        <w:ind w:left="5040" w:hanging="360"/>
      </w:pPr>
      <w:rPr>
        <w:rFonts w:ascii="Symbol" w:hAnsi="Symbol" w:cs="Symbol" w:hint="default"/>
        <w:rFonts w:cs="Symbol"/>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Fonts w:cs="Wingdings"/>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bering>
</file>

<file path=word/settings.xml><?xml version="1.0" encoding="utf-8"?>
<w:settings xmlns:w="http://schemas.openxmlformats.org/wordprocessingml/2006/main">
  <w:zoom w:percent="100"/>
  <w:defaultTabStop w:val="708"/>
  <w:autoHyphenation w:val="true"/>
  <w:footnotePr>
    <w:numFmt w:val="decimal"/>
    <w:footnote w:id="0"/>
    <w:footnote w:id="1"/>
  </w:foot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hyphenationZone w:val="425"/>
  <w:themeFontLang w:val="pl-P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 w:cs="" w:asciiTheme="minorHAnsi" w:cstheme="minorBidi" w:eastAsiaTheme="minorEastAsia" w:hAnsiTheme="minorHAnsi"/>
        <w:szCs w:val="22"/>
        <w:lang w:val="pl-PL" w:eastAsia="pl-PL" w:bidi="ar-SA"/>
      </w:rPr>
    </w:rPrDefault>
    <w:pPrDefault>
      <w:pPr>
        <w:suppressAutoHyphens w:val="true"/>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pPr>
      <w:widowControl/>
      <w:suppressAutoHyphens w:val="true"/>
      <w:bidi w:val="0"/>
      <w:spacing w:lineRule="auto" w:line="264" w:before="0" w:after="44"/>
      <w:ind w:left="3248" w:right="4000" w:hanging="10"/>
      <w:jc w:val="both"/>
    </w:pPr>
    <w:rPr>
      <w:rFonts w:ascii="Calibri" w:hAnsi="Calibri" w:eastAsia="Calibri" w:cs="Calibri"/>
      <w:color w:val="000000"/>
      <w:kern w:val="0"/>
      <w:sz w:val="22"/>
      <w:szCs w:val="22"/>
      <w:lang w:val="pl-PL" w:eastAsia="pl-PL" w:bidi="ar-SA"/>
    </w:rPr>
  </w:style>
  <w:style w:type="paragraph" w:styleId="Nagwek1">
    <w:name w:val="Heading 1"/>
    <w:next w:val="Normal"/>
    <w:link w:val="Nagwek1Znak"/>
    <w:uiPriority w:val="9"/>
    <w:unhideWhenUsed/>
    <w:qFormat/>
    <w:rsid w:val="001c45da"/>
    <w:pPr>
      <w:keepNext w:val="true"/>
      <w:keepLines/>
      <w:widowControl/>
      <w:numPr>
        <w:ilvl w:val="0"/>
        <w:numId w:val="1"/>
      </w:numPr>
      <w:pBdr>
        <w:top w:val="thinThickSmallGap" w:sz="24" w:space="1" w:color="2E74B5"/>
        <w:left w:val="thinThickSmallGap" w:sz="24" w:space="4" w:color="2E74B5"/>
        <w:bottom w:val="thinThickSmallGap" w:sz="24" w:space="1" w:color="2E74B5"/>
        <w:right w:val="thinThickSmallGap" w:sz="24" w:space="4" w:color="2E74B5"/>
      </w:pBdr>
      <w:shd w:val="clear" w:color="auto" w:fill="F7CAAC" w:themeFill="accent2" w:themeFillTint="66"/>
      <w:suppressAutoHyphens w:val="true"/>
      <w:bidi w:val="0"/>
      <w:spacing w:lineRule="auto" w:line="259" w:before="240" w:after="240"/>
      <w:ind w:left="426" w:hanging="426"/>
      <w:jc w:val="left"/>
      <w:outlineLvl w:val="0"/>
    </w:pPr>
    <w:rPr>
      <w:rFonts w:ascii="Calibri" w:hAnsi="Calibri" w:eastAsia="Calibri" w:cs="Calibri"/>
      <w:b/>
      <w:color w:val="2E74B5"/>
      <w:kern w:val="0"/>
      <w:sz w:val="32"/>
      <w:szCs w:val="22"/>
      <w:lang w:val="pl-PL" w:eastAsia="pl-PL" w:bidi="ar-SA"/>
    </w:rPr>
  </w:style>
  <w:style w:type="paragraph" w:styleId="Nagwek2">
    <w:name w:val="Heading 2"/>
    <w:next w:val="Normal"/>
    <w:link w:val="Nagwek2Znak"/>
    <w:uiPriority w:val="9"/>
    <w:unhideWhenUsed/>
    <w:qFormat/>
    <w:pPr>
      <w:keepNext w:val="true"/>
      <w:keepLines/>
      <w:widowControl/>
      <w:suppressAutoHyphens w:val="true"/>
      <w:bidi w:val="0"/>
      <w:spacing w:lineRule="auto" w:line="259" w:before="0" w:after="0"/>
      <w:ind w:left="10" w:right="763" w:hanging="10"/>
      <w:jc w:val="center"/>
      <w:outlineLvl w:val="1"/>
    </w:pPr>
    <w:rPr>
      <w:rFonts w:ascii="Calibri" w:hAnsi="Calibri" w:eastAsia="Calibri" w:cs="Calibri"/>
      <w:b/>
      <w:color w:val="000000"/>
      <w:kern w:val="0"/>
      <w:sz w:val="24"/>
      <w:szCs w:val="22"/>
      <w:lang w:val="pl-PL" w:eastAsia="pl-PL" w:bidi="ar-SA"/>
    </w:rPr>
  </w:style>
  <w:style w:type="paragraph" w:styleId="Nagwek3">
    <w:name w:val="Heading 3"/>
    <w:next w:val="Normal"/>
    <w:link w:val="Nagwek3Znak"/>
    <w:uiPriority w:val="9"/>
    <w:unhideWhenUsed/>
    <w:qFormat/>
    <w:pPr>
      <w:keepNext w:val="true"/>
      <w:keepLines/>
      <w:widowControl/>
      <w:suppressAutoHyphens w:val="true"/>
      <w:bidi w:val="0"/>
      <w:spacing w:lineRule="auto" w:line="259" w:before="0" w:after="0"/>
      <w:ind w:left="10" w:right="763" w:hanging="10"/>
      <w:jc w:val="center"/>
      <w:outlineLvl w:val="2"/>
    </w:pPr>
    <w:rPr>
      <w:rFonts w:ascii="Calibri" w:hAnsi="Calibri" w:eastAsia="Calibri" w:cs="Calibri"/>
      <w:b/>
      <w:color w:val="000000"/>
      <w:kern w:val="0"/>
      <w:sz w:val="24"/>
      <w:szCs w:val="22"/>
      <w:lang w:val="pl-PL" w:eastAsia="pl-PL" w:bidi="ar-SA"/>
    </w:rPr>
  </w:style>
  <w:style w:type="paragraph" w:styleId="Nagwek5">
    <w:name w:val="Heading 5"/>
    <w:basedOn w:val="Normal"/>
    <w:next w:val="Normal"/>
    <w:link w:val="Nagwek5Znak"/>
    <w:uiPriority w:val="9"/>
    <w:semiHidden/>
    <w:unhideWhenUsed/>
    <w:qFormat/>
    <w:rsid w:val="0094297b"/>
    <w:pPr>
      <w:keepNext w:val="true"/>
      <w:keepLines/>
      <w:spacing w:before="40" w:after="0"/>
      <w:outlineLvl w:val="4"/>
    </w:pPr>
    <w:rPr>
      <w:rFonts w:ascii="Calibri Light" w:hAnsi="Calibri Light" w:eastAsia="" w:cs="" w:asciiTheme="majorHAnsi" w:cstheme="majorBidi" w:eastAsiaTheme="majorEastAsia" w:hAnsiTheme="majorHAnsi"/>
      <w:color w:val="2E74B5" w:themeColor="accent1" w:themeShade="bf"/>
    </w:rPr>
  </w:style>
  <w:style w:type="character" w:styleId="DefaultParagraphFont" w:default="1">
    <w:name w:val="Default Paragraph Font"/>
    <w:uiPriority w:val="1"/>
    <w:semiHidden/>
    <w:unhideWhenUsed/>
    <w:qFormat/>
    <w:rPr/>
  </w:style>
  <w:style w:type="character" w:styleId="Nagwek3Znak" w:customStyle="1">
    <w:name w:val="Nagłówek 3 Znak"/>
    <w:link w:val="Nagwek3"/>
    <w:qFormat/>
    <w:rPr>
      <w:rFonts w:ascii="Calibri" w:hAnsi="Calibri" w:eastAsia="Calibri" w:cs="Calibri"/>
      <w:b/>
      <w:color w:val="000000"/>
      <w:sz w:val="24"/>
    </w:rPr>
  </w:style>
  <w:style w:type="character" w:styleId="Nagwek1Znak" w:customStyle="1">
    <w:name w:val="Nagłówek 1 Znak"/>
    <w:link w:val="Nagwek1"/>
    <w:uiPriority w:val="9"/>
    <w:qFormat/>
    <w:rsid w:val="001c45da"/>
    <w:rPr>
      <w:rFonts w:ascii="Calibri" w:hAnsi="Calibri" w:eastAsia="Calibri" w:cs="Calibri"/>
      <w:b/>
      <w:color w:val="2E74B5"/>
      <w:sz w:val="32"/>
      <w:shd w:fill="F7CAAC" w:val="clear"/>
    </w:rPr>
  </w:style>
  <w:style w:type="character" w:styleId="FootnotedescriptionChar" w:customStyle="1">
    <w:name w:val="footnote description Char"/>
    <w:link w:val="footnotedescription"/>
    <w:qFormat/>
    <w:rPr>
      <w:rFonts w:ascii="Arial" w:hAnsi="Arial" w:eastAsia="Arial" w:cs="Arial"/>
      <w:color w:val="000000"/>
      <w:sz w:val="16"/>
    </w:rPr>
  </w:style>
  <w:style w:type="character" w:styleId="Nagwek2Znak" w:customStyle="1">
    <w:name w:val="Nagłówek 2 Znak"/>
    <w:link w:val="Nagwek2"/>
    <w:qFormat/>
    <w:rPr>
      <w:rFonts w:ascii="Calibri" w:hAnsi="Calibri" w:eastAsia="Calibri" w:cs="Calibri"/>
      <w:b/>
      <w:color w:val="000000"/>
      <w:sz w:val="24"/>
    </w:rPr>
  </w:style>
  <w:style w:type="character" w:styleId="Footnotemark" w:customStyle="1">
    <w:name w:val="footnote mark"/>
    <w:qFormat/>
    <w:rPr>
      <w:rFonts w:ascii="Arial" w:hAnsi="Arial" w:eastAsia="Arial" w:cs="Arial"/>
      <w:color w:val="000000"/>
      <w:sz w:val="16"/>
      <w:vertAlign w:val="superscript"/>
    </w:rPr>
  </w:style>
  <w:style w:type="character" w:styleId="Czeinternetowe">
    <w:name w:val="Łącze internetowe"/>
    <w:basedOn w:val="DefaultParagraphFont"/>
    <w:uiPriority w:val="99"/>
    <w:unhideWhenUsed/>
    <w:rsid w:val="00950f9a"/>
    <w:rPr>
      <w:color w:val="0563C1" w:themeColor="hyperlink"/>
      <w:u w:val="single"/>
    </w:rPr>
  </w:style>
  <w:style w:type="character" w:styleId="Annotationreference">
    <w:name w:val="annotation reference"/>
    <w:basedOn w:val="DefaultParagraphFont"/>
    <w:uiPriority w:val="99"/>
    <w:semiHidden/>
    <w:unhideWhenUsed/>
    <w:qFormat/>
    <w:rsid w:val="00627a8a"/>
    <w:rPr>
      <w:sz w:val="16"/>
      <w:szCs w:val="16"/>
    </w:rPr>
  </w:style>
  <w:style w:type="character" w:styleId="TekstkomentarzaZnak" w:customStyle="1">
    <w:name w:val="Tekst komentarza Znak"/>
    <w:basedOn w:val="DefaultParagraphFont"/>
    <w:link w:val="Tekstkomentarza"/>
    <w:uiPriority w:val="99"/>
    <w:semiHidden/>
    <w:qFormat/>
    <w:rsid w:val="00627a8a"/>
    <w:rPr>
      <w:rFonts w:ascii="Calibri" w:hAnsi="Calibri" w:eastAsia="Calibri" w:cs="Calibri"/>
      <w:color w:val="000000"/>
      <w:sz w:val="20"/>
      <w:szCs w:val="20"/>
    </w:rPr>
  </w:style>
  <w:style w:type="character" w:styleId="TekstdymkaZnak" w:customStyle="1">
    <w:name w:val="Tekst dymka Znak"/>
    <w:basedOn w:val="DefaultParagraphFont"/>
    <w:link w:val="Tekstdymka"/>
    <w:uiPriority w:val="99"/>
    <w:semiHidden/>
    <w:qFormat/>
    <w:rsid w:val="00627a8a"/>
    <w:rPr>
      <w:rFonts w:ascii="Segoe UI" w:hAnsi="Segoe UI" w:eastAsia="Calibri" w:cs="Segoe UI"/>
      <w:color w:val="000000"/>
      <w:sz w:val="18"/>
      <w:szCs w:val="18"/>
    </w:rPr>
  </w:style>
  <w:style w:type="character" w:styleId="TematkomentarzaZnak" w:customStyle="1">
    <w:name w:val="Temat komentarza Znak"/>
    <w:basedOn w:val="TekstkomentarzaZnak"/>
    <w:link w:val="Tematkomentarza"/>
    <w:uiPriority w:val="99"/>
    <w:semiHidden/>
    <w:qFormat/>
    <w:rsid w:val="00cf2d52"/>
    <w:rPr>
      <w:rFonts w:ascii="Calibri" w:hAnsi="Calibri" w:eastAsia="Calibri" w:cs="Calibri"/>
      <w:b/>
      <w:bCs/>
      <w:color w:val="000000"/>
      <w:sz w:val="20"/>
      <w:szCs w:val="20"/>
    </w:rPr>
  </w:style>
  <w:style w:type="character" w:styleId="Nagwek5Znak" w:customStyle="1">
    <w:name w:val="Nagłówek 5 Znak"/>
    <w:basedOn w:val="DefaultParagraphFont"/>
    <w:link w:val="Nagwek5"/>
    <w:uiPriority w:val="9"/>
    <w:semiHidden/>
    <w:qFormat/>
    <w:rsid w:val="0094297b"/>
    <w:rPr>
      <w:rFonts w:ascii="Calibri Light" w:hAnsi="Calibri Light" w:eastAsia="" w:cs="" w:asciiTheme="majorHAnsi" w:cstheme="majorBidi" w:eastAsiaTheme="majorEastAsia" w:hAnsiTheme="majorHAnsi"/>
      <w:color w:val="2E74B5" w:themeColor="accent1" w:themeShade="bf"/>
    </w:rPr>
  </w:style>
  <w:style w:type="character" w:styleId="UnresolvedMention" w:customStyle="1">
    <w:name w:val="Unresolved Mention"/>
    <w:basedOn w:val="DefaultParagraphFont"/>
    <w:uiPriority w:val="99"/>
    <w:semiHidden/>
    <w:unhideWhenUsed/>
    <w:qFormat/>
    <w:rsid w:val="0042181f"/>
    <w:rPr>
      <w:color w:val="605E5C"/>
      <w:shd w:fill="E1DFDD" w:val="clear"/>
    </w:rPr>
  </w:style>
  <w:style w:type="character" w:styleId="Teksttreci2" w:customStyle="1">
    <w:name w:val="Tekst treści (2)_"/>
    <w:basedOn w:val="DefaultParagraphFont"/>
    <w:link w:val="Teksttreci20"/>
    <w:qFormat/>
    <w:rsid w:val="003b1a2e"/>
    <w:rPr>
      <w:rFonts w:ascii="Times New Roman" w:hAnsi="Times New Roman" w:eastAsia="Times New Roman" w:cs="Times New Roman"/>
      <w:sz w:val="21"/>
      <w:szCs w:val="21"/>
      <w:shd w:fill="FFFFFF" w:val="clear"/>
    </w:rPr>
  </w:style>
  <w:style w:type="character" w:styleId="Nagwek21" w:customStyle="1">
    <w:name w:val="Nagłówek #2"/>
    <w:basedOn w:val="DefaultParagraphFont"/>
    <w:qFormat/>
    <w:rsid w:val="003b1a2e"/>
    <w:rPr>
      <w:rFonts w:ascii="Times New Roman" w:hAnsi="Times New Roman" w:eastAsia="Times New Roman" w:cs="Times New Roman"/>
      <w:b/>
      <w:bCs/>
      <w:i w:val="false"/>
      <w:iCs w:val="false"/>
      <w:caps w:val="false"/>
      <w:smallCaps w:val="false"/>
      <w:strike w:val="false"/>
      <w:dstrike w:val="false"/>
      <w:color w:val="000000"/>
      <w:spacing w:val="0"/>
      <w:w w:val="100"/>
      <w:sz w:val="21"/>
      <w:szCs w:val="21"/>
      <w:u w:val="single"/>
      <w:lang w:val="pl-PL" w:eastAsia="pl-PL" w:bidi="pl-PL"/>
    </w:rPr>
  </w:style>
  <w:style w:type="character" w:styleId="Teksttreci2Exact" w:customStyle="1">
    <w:name w:val="Tekst treści (2) Exact"/>
    <w:basedOn w:val="DefaultParagraphFont"/>
    <w:qFormat/>
    <w:rsid w:val="003b1a2e"/>
    <w:rPr>
      <w:rFonts w:ascii="Times New Roman" w:hAnsi="Times New Roman" w:eastAsia="Times New Roman" w:cs="Times New Roman"/>
      <w:b w:val="false"/>
      <w:bCs w:val="false"/>
      <w:i w:val="false"/>
      <w:iCs w:val="false"/>
      <w:caps w:val="false"/>
      <w:smallCaps w:val="false"/>
      <w:strike w:val="false"/>
      <w:dstrike w:val="false"/>
      <w:sz w:val="21"/>
      <w:szCs w:val="21"/>
      <w:u w:val="none"/>
    </w:rPr>
  </w:style>
  <w:style w:type="character" w:styleId="Teksttreci10MaeliteryExact" w:customStyle="1">
    <w:name w:val="Tekst treści (10) + Małe litery Exact"/>
    <w:basedOn w:val="Teksttreci10"/>
    <w:qFormat/>
    <w:rsid w:val="003b1a2e"/>
    <w:rPr>
      <w:rFonts w:ascii="Times New Roman" w:hAnsi="Times New Roman" w:eastAsia="Times New Roman" w:cs="Times New Roman"/>
      <w:smallCaps/>
      <w:sz w:val="20"/>
      <w:szCs w:val="20"/>
      <w:shd w:fill="FFFFFF" w:val="clear"/>
    </w:rPr>
  </w:style>
  <w:style w:type="character" w:styleId="Teksttreci10" w:customStyle="1">
    <w:name w:val="Tekst treści (10)_"/>
    <w:basedOn w:val="DefaultParagraphFont"/>
    <w:link w:val="Teksttreci100"/>
    <w:qFormat/>
    <w:rsid w:val="003b1a2e"/>
    <w:rPr>
      <w:rFonts w:ascii="Times New Roman" w:hAnsi="Times New Roman" w:eastAsia="Times New Roman" w:cs="Times New Roman"/>
      <w:sz w:val="20"/>
      <w:szCs w:val="20"/>
      <w:shd w:fill="FFFFFF" w:val="clear"/>
    </w:rPr>
  </w:style>
  <w:style w:type="character" w:styleId="Teksttreci2Pogrubienie" w:customStyle="1">
    <w:name w:val="Tekst treści (2) + Pogrubienie"/>
    <w:basedOn w:val="Teksttreci2"/>
    <w:qFormat/>
    <w:rsid w:val="009953f6"/>
    <w:rPr>
      <w:rFonts w:ascii="Times New Roman" w:hAnsi="Times New Roman" w:eastAsia="Times New Roman" w:cs="Times New Roman"/>
      <w:b/>
      <w:bCs/>
      <w:i w:val="false"/>
      <w:iCs w:val="false"/>
      <w:caps w:val="false"/>
      <w:smallCaps w:val="false"/>
      <w:strike w:val="false"/>
      <w:dstrike w:val="false"/>
      <w:color w:val="000000"/>
      <w:spacing w:val="0"/>
      <w:w w:val="100"/>
      <w:sz w:val="21"/>
      <w:szCs w:val="21"/>
      <w:u w:val="none"/>
      <w:shd w:fill="FFFFFF" w:val="clear"/>
      <w:lang w:val="pl-PL" w:eastAsia="pl-PL" w:bidi="pl-PL"/>
    </w:rPr>
  </w:style>
  <w:style w:type="character" w:styleId="Nagwek22" w:customStyle="1">
    <w:name w:val="Nagłówek #2_"/>
    <w:basedOn w:val="DefaultParagraphFont"/>
    <w:qFormat/>
    <w:rsid w:val="00852cac"/>
    <w:rPr>
      <w:rFonts w:ascii="Times New Roman" w:hAnsi="Times New Roman" w:eastAsia="Times New Roman" w:cs="Times New Roman"/>
      <w:b/>
      <w:bCs/>
      <w:i w:val="false"/>
      <w:iCs w:val="false"/>
      <w:caps w:val="false"/>
      <w:smallCaps w:val="false"/>
      <w:strike w:val="false"/>
      <w:dstrike w:val="false"/>
      <w:sz w:val="21"/>
      <w:szCs w:val="21"/>
      <w:u w:val="none"/>
    </w:rPr>
  </w:style>
  <w:style w:type="character" w:styleId="Teksttreci2Kursywa" w:customStyle="1">
    <w:name w:val="Tekst treści (2) + Kursywa"/>
    <w:basedOn w:val="Teksttreci2"/>
    <w:qFormat/>
    <w:rsid w:val="00457e26"/>
    <w:rPr>
      <w:rFonts w:ascii="Times New Roman" w:hAnsi="Times New Roman" w:eastAsia="Times New Roman" w:cs="Times New Roman"/>
      <w:b w:val="false"/>
      <w:bCs w:val="false"/>
      <w:i/>
      <w:iCs/>
      <w:caps w:val="false"/>
      <w:smallCaps w:val="false"/>
      <w:strike w:val="false"/>
      <w:dstrike w:val="false"/>
      <w:color w:val="000000"/>
      <w:spacing w:val="0"/>
      <w:w w:val="100"/>
      <w:sz w:val="21"/>
      <w:szCs w:val="21"/>
      <w:u w:val="none"/>
      <w:shd w:fill="FFFFFF" w:val="clear"/>
      <w:lang w:val="pl-PL" w:eastAsia="pl-PL" w:bidi="pl-PL"/>
    </w:rPr>
  </w:style>
  <w:style w:type="character" w:styleId="Fontstyle01" w:customStyle="1">
    <w:name w:val="fontstyle01"/>
    <w:basedOn w:val="DefaultParagraphFont"/>
    <w:qFormat/>
    <w:rsid w:val="00220238"/>
    <w:rPr>
      <w:rFonts w:ascii="Arial-BoldMT" w:hAnsi="Arial-BoldMT"/>
      <w:b/>
      <w:bCs/>
      <w:i w:val="false"/>
      <w:iCs w:val="false"/>
      <w:color w:val="000000"/>
      <w:sz w:val="22"/>
      <w:szCs w:val="22"/>
    </w:rPr>
  </w:style>
  <w:style w:type="character" w:styleId="Fontstyle21" w:customStyle="1">
    <w:name w:val="fontstyle21"/>
    <w:basedOn w:val="DefaultParagraphFont"/>
    <w:qFormat/>
    <w:rsid w:val="00220238"/>
    <w:rPr>
      <w:rFonts w:ascii="ArialMT" w:hAnsi="ArialMT"/>
      <w:b w:val="false"/>
      <w:bCs w:val="false"/>
      <w:i w:val="false"/>
      <w:iCs w:val="false"/>
      <w:color w:val="000000"/>
      <w:sz w:val="22"/>
      <w:szCs w:val="22"/>
    </w:rPr>
  </w:style>
  <w:style w:type="character" w:styleId="Odwiedzoneczeinternetowe">
    <w:name w:val="Odwiedzone łącze internetowe"/>
    <w:basedOn w:val="DefaultParagraphFont"/>
    <w:uiPriority w:val="99"/>
    <w:semiHidden/>
    <w:unhideWhenUsed/>
    <w:rsid w:val="008e4514"/>
    <w:rPr>
      <w:color w:val="954F72" w:themeColor="followedHyperlink"/>
      <w:u w:val="single"/>
    </w:rPr>
  </w:style>
  <w:style w:type="character" w:styleId="Czeindeksu">
    <w:name w:val="Łącze indeksu"/>
    <w:qFormat/>
    <w:rPr/>
  </w:style>
  <w:style w:type="character" w:styleId="Znakiprzypiswdolnych">
    <w:name w:val="Znaki przypisów dolnych"/>
    <w:qFormat/>
    <w:rPr/>
  </w:style>
  <w:style w:type="character" w:styleId="Zakotwiczenieprzypisudolnego">
    <w:name w:val="Zakotwiczenie przypisu dolnego"/>
    <w:rPr>
      <w:vertAlign w:val="superscript"/>
    </w:rPr>
  </w:style>
  <w:style w:type="character" w:styleId="Zakotwiczenieprzypisukocowego">
    <w:name w:val="Zakotwiczenie przypisu końcowego"/>
    <w:rPr>
      <w:vertAlign w:val="superscript"/>
    </w:rPr>
  </w:style>
  <w:style w:type="character" w:styleId="Znakiprzypiswkocowych">
    <w:name w:val="Znaki przypisów końcowych"/>
    <w:qFormat/>
    <w:rPr/>
  </w:style>
  <w:style w:type="paragraph" w:styleId="Nagwek">
    <w:name w:val="Nagłówek"/>
    <w:basedOn w:val="Normal"/>
    <w:next w:val="Tretekstu"/>
    <w:qFormat/>
    <w:pPr>
      <w:keepNext w:val="true"/>
      <w:spacing w:before="240" w:after="120"/>
    </w:pPr>
    <w:rPr>
      <w:rFonts w:ascii="Liberation Sans" w:hAnsi="Liberation Sans" w:eastAsia="Microsoft YaHei" w:cs="Mangal"/>
      <w:sz w:val="28"/>
      <w:szCs w:val="28"/>
    </w:rPr>
  </w:style>
  <w:style w:type="paragraph" w:styleId="Tretekstu">
    <w:name w:val="Body Text"/>
    <w:basedOn w:val="Normal"/>
    <w:pPr>
      <w:spacing w:lineRule="auto" w:line="276" w:before="0" w:after="140"/>
    </w:pPr>
    <w:rPr/>
  </w:style>
  <w:style w:type="paragraph" w:styleId="Lista">
    <w:name w:val="List"/>
    <w:basedOn w:val="Tretekstu"/>
    <w:pPr/>
    <w:rPr>
      <w:rFonts w:cs="Mangal"/>
    </w:rPr>
  </w:style>
  <w:style w:type="paragraph" w:styleId="Podpis">
    <w:name w:val="Caption"/>
    <w:basedOn w:val="Normal"/>
    <w:qFormat/>
    <w:pPr>
      <w:suppressLineNumbers/>
      <w:spacing w:before="120" w:after="120"/>
    </w:pPr>
    <w:rPr>
      <w:rFonts w:cs="Mangal"/>
      <w:i/>
      <w:iCs/>
      <w:sz w:val="24"/>
      <w:szCs w:val="24"/>
    </w:rPr>
  </w:style>
  <w:style w:type="paragraph" w:styleId="Indeks">
    <w:name w:val="Indeks"/>
    <w:basedOn w:val="Normal"/>
    <w:qFormat/>
    <w:pPr>
      <w:suppressLineNumbers/>
    </w:pPr>
    <w:rPr>
      <w:rFonts w:cs="Mangal"/>
    </w:rPr>
  </w:style>
  <w:style w:type="paragraph" w:styleId="Footnotedescription" w:customStyle="1">
    <w:name w:val="footnote description"/>
    <w:next w:val="Normal"/>
    <w:link w:val="footnotedescriptionChar"/>
    <w:qFormat/>
    <w:pPr>
      <w:widowControl/>
      <w:suppressAutoHyphens w:val="true"/>
      <w:bidi w:val="0"/>
      <w:spacing w:lineRule="auto" w:line="254" w:before="0" w:after="5"/>
      <w:ind w:left="154" w:hanging="142"/>
      <w:jc w:val="left"/>
    </w:pPr>
    <w:rPr>
      <w:rFonts w:ascii="Arial" w:hAnsi="Arial" w:eastAsia="Arial" w:cs="Arial"/>
      <w:color w:val="000000"/>
      <w:kern w:val="0"/>
      <w:sz w:val="16"/>
      <w:szCs w:val="22"/>
      <w:lang w:val="pl-PL" w:eastAsia="pl-PL" w:bidi="ar-SA"/>
    </w:rPr>
  </w:style>
  <w:style w:type="paragraph" w:styleId="Spistreci1">
    <w:name w:val="TOC 1"/>
    <w:uiPriority w:val="39"/>
    <w:pPr>
      <w:widowControl/>
      <w:suppressAutoHyphens w:val="true"/>
      <w:bidi w:val="0"/>
      <w:spacing w:lineRule="auto" w:line="264" w:before="0" w:after="111"/>
      <w:ind w:left="31" w:right="779" w:hanging="10"/>
      <w:jc w:val="both"/>
    </w:pPr>
    <w:rPr>
      <w:rFonts w:ascii="Calibri" w:hAnsi="Calibri" w:eastAsia="Calibri" w:cs="Calibri"/>
      <w:color w:val="000000"/>
      <w:kern w:val="0"/>
      <w:sz w:val="22"/>
      <w:szCs w:val="22"/>
      <w:lang w:val="pl-PL" w:eastAsia="pl-PL" w:bidi="ar-SA"/>
    </w:rPr>
  </w:style>
  <w:style w:type="paragraph" w:styleId="Spistreci2">
    <w:name w:val="TOC 2"/>
    <w:pPr>
      <w:widowControl/>
      <w:suppressAutoHyphens w:val="true"/>
      <w:bidi w:val="0"/>
      <w:spacing w:lineRule="auto" w:line="259" w:before="0" w:after="202"/>
      <w:ind w:left="461" w:right="798" w:hanging="10"/>
      <w:jc w:val="center"/>
    </w:pPr>
    <w:rPr>
      <w:rFonts w:ascii="Calibri" w:hAnsi="Calibri" w:eastAsia="Calibri" w:cs="Calibri"/>
      <w:color w:val="000000"/>
      <w:kern w:val="0"/>
      <w:sz w:val="22"/>
      <w:szCs w:val="22"/>
      <w:lang w:val="pl-PL" w:eastAsia="pl-PL" w:bidi="ar-SA"/>
    </w:rPr>
  </w:style>
  <w:style w:type="paragraph" w:styleId="ListParagraph">
    <w:name w:val="List Paragraph"/>
    <w:basedOn w:val="Normal"/>
    <w:uiPriority w:val="34"/>
    <w:qFormat/>
    <w:rsid w:val="00437a4d"/>
    <w:pPr>
      <w:spacing w:before="0" w:after="44"/>
      <w:ind w:left="720" w:right="4000" w:hanging="10"/>
      <w:contextualSpacing/>
    </w:pPr>
    <w:rPr/>
  </w:style>
  <w:style w:type="paragraph" w:styleId="Annotationtext">
    <w:name w:val="annotation text"/>
    <w:basedOn w:val="Normal"/>
    <w:link w:val="TekstkomentarzaZnak"/>
    <w:uiPriority w:val="99"/>
    <w:semiHidden/>
    <w:unhideWhenUsed/>
    <w:qFormat/>
    <w:rsid w:val="00627a8a"/>
    <w:pPr>
      <w:spacing w:lineRule="auto" w:line="240"/>
    </w:pPr>
    <w:rPr>
      <w:sz w:val="20"/>
      <w:szCs w:val="20"/>
    </w:rPr>
  </w:style>
  <w:style w:type="paragraph" w:styleId="BalloonText">
    <w:name w:val="Balloon Text"/>
    <w:basedOn w:val="Normal"/>
    <w:link w:val="TekstdymkaZnak"/>
    <w:uiPriority w:val="99"/>
    <w:semiHidden/>
    <w:unhideWhenUsed/>
    <w:qFormat/>
    <w:rsid w:val="00627a8a"/>
    <w:pPr>
      <w:spacing w:lineRule="auto" w:line="240" w:before="0" w:after="0"/>
    </w:pPr>
    <w:rPr>
      <w:rFonts w:ascii="Segoe UI" w:hAnsi="Segoe UI" w:cs="Segoe UI"/>
      <w:sz w:val="18"/>
      <w:szCs w:val="18"/>
    </w:rPr>
  </w:style>
  <w:style w:type="paragraph" w:styleId="Annotationsubject">
    <w:name w:val="annotation subject"/>
    <w:basedOn w:val="Annotationtext"/>
    <w:next w:val="Annotationtext"/>
    <w:link w:val="TematkomentarzaZnak"/>
    <w:uiPriority w:val="99"/>
    <w:semiHidden/>
    <w:unhideWhenUsed/>
    <w:qFormat/>
    <w:rsid w:val="00cf2d52"/>
    <w:pPr/>
    <w:rPr>
      <w:b/>
      <w:bCs/>
    </w:rPr>
  </w:style>
  <w:style w:type="paragraph" w:styleId="Revision">
    <w:name w:val="Revision"/>
    <w:uiPriority w:val="99"/>
    <w:semiHidden/>
    <w:qFormat/>
    <w:rsid w:val="00b154ce"/>
    <w:pPr>
      <w:widowControl/>
      <w:suppressAutoHyphens w:val="true"/>
      <w:bidi w:val="0"/>
      <w:spacing w:lineRule="auto" w:line="240" w:before="0" w:after="0"/>
      <w:jc w:val="left"/>
    </w:pPr>
    <w:rPr>
      <w:rFonts w:ascii="Calibri" w:hAnsi="Calibri" w:eastAsia="Calibri" w:cs="Calibri"/>
      <w:color w:val="000000"/>
      <w:kern w:val="0"/>
      <w:sz w:val="22"/>
      <w:szCs w:val="22"/>
      <w:lang w:val="pl-PL" w:eastAsia="pl-PL" w:bidi="ar-SA"/>
    </w:rPr>
  </w:style>
  <w:style w:type="paragraph" w:styleId="Podstawowyakapitowy" w:customStyle="1">
    <w:name w:val="[Podstawowy akapitowy]"/>
    <w:basedOn w:val="Normal"/>
    <w:uiPriority w:val="99"/>
    <w:qFormat/>
    <w:rsid w:val="00f75ff8"/>
    <w:pPr>
      <w:widowControl w:val="false"/>
      <w:spacing w:lineRule="auto" w:line="288" w:before="0" w:after="120"/>
      <w:ind w:left="0" w:right="0" w:hanging="0"/>
      <w:jc w:val="left"/>
      <w:textAlignment w:val="center"/>
    </w:pPr>
    <w:rPr>
      <w:rFonts w:ascii="MinionPro-Regular" w:hAnsi="MinionPro-Regular" w:eastAsia="Calibri" w:cs="MinionPro-Regular" w:eastAsiaTheme="minorHAnsi"/>
      <w:sz w:val="24"/>
      <w:szCs w:val="24"/>
      <w:lang w:eastAsia="en-US"/>
    </w:rPr>
  </w:style>
  <w:style w:type="paragraph" w:styleId="Standard" w:customStyle="1">
    <w:name w:val="Standard"/>
    <w:qFormat/>
    <w:rsid w:val="0042181f"/>
    <w:pPr>
      <w:widowControl w:val="false"/>
      <w:suppressAutoHyphens w:val="true"/>
      <w:bidi w:val="0"/>
      <w:spacing w:lineRule="auto" w:line="276" w:before="0" w:after="200"/>
      <w:jc w:val="left"/>
      <w:textAlignment w:val="baseline"/>
    </w:pPr>
    <w:rPr>
      <w:rFonts w:ascii="Book-Antiqua" w:hAnsi="Book-Antiqua" w:eastAsia="Times New Roman" w:cs="Book-Antiqua"/>
      <w:color w:val="000000"/>
      <w:kern w:val="2"/>
      <w:sz w:val="24"/>
      <w:szCs w:val="24"/>
      <w:lang w:val="pl-PL" w:eastAsia="en-US" w:bidi="ar-SA"/>
    </w:rPr>
  </w:style>
  <w:style w:type="paragraph" w:styleId="Akapitzlist2" w:customStyle="1">
    <w:name w:val="Akapit z listą2"/>
    <w:basedOn w:val="Standard"/>
    <w:qFormat/>
    <w:rsid w:val="0042181f"/>
    <w:pPr>
      <w:spacing w:lineRule="auto" w:line="240" w:before="0" w:after="0"/>
      <w:ind w:left="720" w:hanging="0"/>
    </w:pPr>
    <w:rPr>
      <w:rFonts w:ascii="Times New Roman" w:hAnsi="Times New Roman" w:eastAsia="SimSun" w:cs="Mangal"/>
      <w:lang w:eastAsia="hi-IN" w:bidi="hi-IN"/>
    </w:rPr>
  </w:style>
  <w:style w:type="paragraph" w:styleId="Teksttreci21" w:customStyle="1">
    <w:name w:val="Tekst treści (2)"/>
    <w:basedOn w:val="Normal"/>
    <w:link w:val="Teksttreci2"/>
    <w:qFormat/>
    <w:rsid w:val="003b1a2e"/>
    <w:pPr>
      <w:widowControl w:val="false"/>
      <w:shd w:val="clear" w:color="auto" w:fill="FFFFFF"/>
      <w:spacing w:lineRule="auto" w:line="240" w:before="180" w:after="60"/>
      <w:ind w:left="0" w:right="0" w:hanging="1340"/>
      <w:jc w:val="center"/>
    </w:pPr>
    <w:rPr>
      <w:rFonts w:ascii="Times New Roman" w:hAnsi="Times New Roman" w:eastAsia="Times New Roman" w:cs="Times New Roman"/>
      <w:color w:val="auto"/>
      <w:sz w:val="21"/>
      <w:szCs w:val="21"/>
    </w:rPr>
  </w:style>
  <w:style w:type="paragraph" w:styleId="Teksttreci101" w:customStyle="1">
    <w:name w:val="Tekst treści (10)"/>
    <w:basedOn w:val="Normal"/>
    <w:link w:val="Teksttreci10"/>
    <w:qFormat/>
    <w:rsid w:val="003b1a2e"/>
    <w:pPr>
      <w:widowControl w:val="false"/>
      <w:shd w:val="clear" w:color="auto" w:fill="FFFFFF"/>
      <w:spacing w:lineRule="auto" w:line="240" w:before="0" w:after="0"/>
      <w:ind w:left="0" w:right="0" w:hanging="420"/>
      <w:jc w:val="left"/>
    </w:pPr>
    <w:rPr>
      <w:rFonts w:ascii="Times New Roman" w:hAnsi="Times New Roman" w:eastAsia="Times New Roman" w:cs="Times New Roman"/>
      <w:color w:val="auto"/>
      <w:sz w:val="20"/>
      <w:szCs w:val="20"/>
    </w:rPr>
  </w:style>
  <w:style w:type="paragraph" w:styleId="Przypisdolny">
    <w:name w:val="Footnote Text"/>
    <w:basedOn w:val="Normal"/>
    <w:pPr/>
    <w:rPr/>
  </w:style>
  <w:style w:type="paragraph" w:styleId="Gwkaistopka">
    <w:name w:val="Główka i stopka"/>
    <w:basedOn w:val="Normal"/>
    <w:qFormat/>
    <w:pPr/>
    <w:rPr/>
  </w:style>
  <w:style w:type="paragraph" w:styleId="Gwka">
    <w:name w:val="Header"/>
    <w:basedOn w:val="Gwkaistopka"/>
    <w:pPr/>
    <w:rPr/>
  </w:style>
  <w:style w:type="paragraph" w:styleId="Stopka">
    <w:name w:val="Footer"/>
    <w:basedOn w:val="Gwkaistopka"/>
    <w:pPr/>
    <w:rPr/>
  </w:style>
  <w:style w:type="numbering" w:styleId="NoList" w:default="1">
    <w:name w:val="No List"/>
    <w:uiPriority w:val="99"/>
    <w:semiHidden/>
    <w:unhideWhenUsed/>
    <w:qFormat/>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table" w:customStyle="1" w:styleId="TableGrid">
    <w:name w:val="TableGrid"/>
    <w:pPr>
      <w:spacing w:after="0" w:line="240" w:lineRule="auto"/>
    </w:pPr>
    <w:tblPr>
      <w:tblCellMar>
        <w:top w:w="0" w:type="dxa"/>
        <w:left w:w="0" w:type="dxa"/>
        <w:bottom w:w="0" w:type="dxa"/>
        <w:right w:w="0"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spzoz-zielonka.ezamawiajacy.pl/" TargetMode="External"/><Relationship Id="rId3" Type="http://schemas.openxmlformats.org/officeDocument/2006/relationships/hyperlink" Target="http://spzozzielonka.bip.eur.pl/public/?id=112779" TargetMode="External"/><Relationship Id="rId4" Type="http://schemas.openxmlformats.org/officeDocument/2006/relationships/hyperlink" Target="http://www.spzozzielonka.pl/" TargetMode="External"/><Relationship Id="rId5" Type="http://schemas.openxmlformats.org/officeDocument/2006/relationships/hyperlink" Target="http://spzozzielonka.bip.eur.pl/public/" TargetMode="External"/><Relationship Id="rId6" Type="http://schemas.openxmlformats.org/officeDocument/2006/relationships/hyperlink" Target="https://spzoz-zielonka.ezamawiajacy.pl/" TargetMode="External"/><Relationship Id="rId7" Type="http://schemas.openxmlformats.org/officeDocument/2006/relationships/hyperlink" Target="https://tcocertified.com/product-finder/" TargetMode="External"/><Relationship Id="rId8" Type="http://schemas.openxmlformats.org/officeDocument/2006/relationships/hyperlink" Target="https://spzoz-zielonka.ezamawiajacy.pl/" TargetMode="External"/><Relationship Id="rId9" Type="http://schemas.openxmlformats.org/officeDocument/2006/relationships/hyperlink" Target="https://spzoz-zielonka.ezamawiajacy.pl/" TargetMode="External"/><Relationship Id="rId10" Type="http://schemas.openxmlformats.org/officeDocument/2006/relationships/hyperlink" Target="https://spzoz-zielonka.ezamawiajacy.pl/" TargetMode="External"/><Relationship Id="rId11" Type="http://schemas.openxmlformats.org/officeDocument/2006/relationships/hyperlink" Target="https://spzoz-zielonka.ezamawiajacy.pl/" TargetMode="External"/><Relationship Id="rId12" Type="http://schemas.openxmlformats.org/officeDocument/2006/relationships/hyperlink" Target="https://oneplace.marketplanet.pl/" TargetMode="External"/><Relationship Id="rId13" Type="http://schemas.openxmlformats.org/officeDocument/2006/relationships/hyperlink" Target="https://oneplace.marketplanet.pl/" TargetMode="External"/><Relationship Id="rId14" Type="http://schemas.openxmlformats.org/officeDocument/2006/relationships/hyperlink" Target="mailto:oneplace@marketpIanet.pl" TargetMode="External"/><Relationship Id="rId15" Type="http://schemas.openxmlformats.org/officeDocument/2006/relationships/hyperlink" Target="https://spzoz-zielonka.ezamawiajacy.pl/" TargetMode="External"/><Relationship Id="rId16" Type="http://schemas.openxmlformats.org/officeDocument/2006/relationships/hyperlink" Target="https://spzoz-zielonka.ezamawiajacy.pl/" TargetMode="External"/><Relationship Id="rId17" Type="http://schemas.openxmlformats.org/officeDocument/2006/relationships/hyperlink" Target="https://spzoz-zielonka.ezamawiajacy.pl/" TargetMode="External"/><Relationship Id="rId18" Type="http://schemas.openxmlformats.org/officeDocument/2006/relationships/hyperlink" Target="https://spzoz-zielonka.ezamawiajacy.pl/" TargetMode="External"/><Relationship Id="rId19" Type="http://schemas.openxmlformats.org/officeDocument/2006/relationships/hyperlink" Target="https://spzoz-zielonka.ezamawiajacy.pl/" TargetMode="External"/><Relationship Id="rId20" Type="http://schemas.openxmlformats.org/officeDocument/2006/relationships/hyperlink" Target="https://spzoz-zielonka.ezamawiajacy.pl/" TargetMode="External"/><Relationship Id="rId21" Type="http://schemas.openxmlformats.org/officeDocument/2006/relationships/image" Target="media/image1.jpeg"/><Relationship Id="rId22" Type="http://schemas.openxmlformats.org/officeDocument/2006/relationships/header" Target="header1.xml"/><Relationship Id="rId23" Type="http://schemas.openxmlformats.org/officeDocument/2006/relationships/footer" Target="footer1.xml"/><Relationship Id="rId24" Type="http://schemas.openxmlformats.org/officeDocument/2006/relationships/footnotes" Target="footnotes.xml"/><Relationship Id="rId25" Type="http://schemas.openxmlformats.org/officeDocument/2006/relationships/numbering" Target="numbering.xml"/><Relationship Id="rId26" Type="http://schemas.openxmlformats.org/officeDocument/2006/relationships/fontTable" Target="fontTable.xml"/><Relationship Id="rId27" Type="http://schemas.openxmlformats.org/officeDocument/2006/relationships/settings" Target="settings.xml"/><Relationship Id="rId28" Type="http://schemas.openxmlformats.org/officeDocument/2006/relationships/theme" Target="theme/theme1.xml"/><Relationship Id="rId29" Type="http://schemas.openxmlformats.org/officeDocument/2006/relationships/customXml" Target="../customXml/item1.xml"/>
</Relationships>
</file>

<file path=word/_rels/header1.xml.rels><?xml version="1.0" encoding="UTF-8"?>
<Relationships xmlns="http://schemas.openxmlformats.org/package/2006/relationships"><Relationship Id="rId1" Type="http://schemas.openxmlformats.org/officeDocument/2006/relationships/image" Target="media/image2.jpeg"/>
</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BABA77-5CB3-4AA3-B80E-21FE8525D8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Application>LibreOffice/6.4.3.2$Windows_X86_64 LibreOffice_project/747b5d0ebf89f41c860ec2a39efd7cb15b54f2d8</Application>
  <Pages>27</Pages>
  <Words>9222</Words>
  <Characters>60041</Characters>
  <CharactersWithSpaces>68987</CharactersWithSpaces>
  <Paragraphs>503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2020-07-31T08:55:00Z</dcterms:created>
  <dc:creator>HP</dc:creator>
  <dc:description/>
  <dc:language>pl-PL</dc:language>
  <cp:lastModifiedBy/>
  <cp:lastPrinted>2019-01-17T11:38:00Z</cp:lastPrinted>
  <dcterms:modified xsi:type="dcterms:W3CDTF">2020-08-07T09:47:40Z</dcterms:modified>
  <cp:revision>3</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