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cs="Arial"/>
          <w:b/>
          <w:b/>
          <w:szCs w:val="20"/>
        </w:rPr>
      </w:pPr>
      <w:r>
        <w:rPr>
          <w:rFonts w:cs="Arial"/>
          <w:b/>
          <w:szCs w:val="20"/>
        </w:rPr>
        <w:t>Załącznik nr 1 do SIWZ</w:t>
      </w:r>
    </w:p>
    <w:p>
      <w:pPr>
        <w:pStyle w:val="Normal"/>
        <w:spacing w:lineRule="auto" w:line="240" w:before="0" w:after="0"/>
        <w:rPr>
          <w:rFonts w:cs="Arial"/>
          <w:b/>
          <w:b/>
          <w:szCs w:val="20"/>
        </w:rPr>
      </w:pPr>
      <w:r>
        <w:rPr>
          <w:rFonts w:cs="Arial"/>
          <w:b/>
          <w:szCs w:val="20"/>
        </w:rPr>
      </w:r>
    </w:p>
    <w:p>
      <w:pPr>
        <w:pStyle w:val="Normal"/>
        <w:spacing w:lineRule="auto" w:line="240" w:before="0" w:after="0"/>
        <w:jc w:val="right"/>
        <w:rPr>
          <w:rFonts w:cs="Arial"/>
          <w:b/>
          <w:b/>
          <w:szCs w:val="20"/>
        </w:rPr>
      </w:pPr>
      <w:r>
        <w:rPr>
          <w:rFonts w:cs="Arial"/>
          <w:b/>
          <w:szCs w:val="20"/>
        </w:rPr>
      </w:r>
    </w:p>
    <w:p>
      <w:pPr>
        <w:pStyle w:val="Normal"/>
        <w:spacing w:lineRule="auto" w:line="240" w:before="0" w:after="0"/>
        <w:jc w:val="right"/>
        <w:rPr>
          <w:rFonts w:cs="Arial"/>
          <w:b/>
          <w:b/>
          <w:szCs w:val="20"/>
        </w:rPr>
      </w:pPr>
      <w:r>
        <w:rPr>
          <w:rFonts w:cs="Arial"/>
          <w:b/>
          <w:szCs w:val="20"/>
        </w:rPr>
      </w:r>
    </w:p>
    <w:p>
      <w:pPr>
        <w:pStyle w:val="Normal"/>
        <w:spacing w:lineRule="auto" w:line="240" w:before="0" w:after="0"/>
        <w:jc w:val="right"/>
        <w:rPr>
          <w:rFonts w:cs="Arial"/>
          <w:b/>
          <w:b/>
          <w:szCs w:val="20"/>
        </w:rPr>
      </w:pPr>
      <w:r>
        <w:rPr>
          <w:rFonts w:cs="Arial"/>
          <w:b/>
          <w:szCs w:val="20"/>
        </w:rPr>
      </w:r>
    </w:p>
    <w:p>
      <w:pPr>
        <w:pStyle w:val="Normal"/>
        <w:spacing w:lineRule="auto" w:line="240" w:before="0" w:after="0"/>
        <w:jc w:val="right"/>
        <w:rPr>
          <w:rFonts w:cs="Arial"/>
          <w:b/>
          <w:b/>
          <w:szCs w:val="20"/>
        </w:rPr>
      </w:pPr>
      <w:r>
        <w:rPr>
          <w:rFonts w:cs="Arial"/>
          <w:b/>
          <w:szCs w:val="20"/>
        </w:rPr>
      </w:r>
    </w:p>
    <w:p>
      <w:pPr>
        <w:pStyle w:val="Default"/>
        <w:jc w:val="center"/>
        <w:rPr>
          <w:rFonts w:ascii="Calibri" w:hAnsi="Calibri" w:cs="Arial" w:asciiTheme="minorHAnsi" w:hAnsiTheme="minorHAnsi"/>
          <w:b/>
          <w:b/>
          <w:sz w:val="32"/>
          <w:szCs w:val="32"/>
        </w:rPr>
      </w:pPr>
      <w:r>
        <w:rPr>
          <w:rFonts w:cs="Arial" w:ascii="Calibri" w:hAnsi="Calibri" w:asciiTheme="minorHAnsi" w:hAnsiTheme="minorHAnsi"/>
          <w:b/>
          <w:sz w:val="32"/>
          <w:szCs w:val="32"/>
        </w:rPr>
        <w:t>OPIS PRZEDMIOTU ZAMÓWIENIA</w:t>
      </w:r>
    </w:p>
    <w:p>
      <w:pPr>
        <w:pStyle w:val="Default"/>
        <w:jc w:val="center"/>
        <w:rPr>
          <w:rFonts w:ascii="Calibri" w:hAnsi="Calibri" w:cs="Arial" w:asciiTheme="minorHAnsi" w:hAnsiTheme="minorHAnsi"/>
          <w:b/>
          <w:b/>
        </w:rPr>
      </w:pPr>
      <w:r>
        <w:rPr>
          <w:rFonts w:cs="Arial" w:ascii="Calibri" w:hAnsi="Calibri"/>
          <w:b/>
        </w:rPr>
      </w:r>
    </w:p>
    <w:p>
      <w:pPr>
        <w:pStyle w:val="Default"/>
        <w:jc w:val="center"/>
        <w:rPr>
          <w:b/>
          <w:b/>
          <w:i/>
          <w:i/>
          <w:color w:val="2E74B5"/>
          <w:sz w:val="28"/>
        </w:rPr>
      </w:pPr>
      <w:r>
        <w:rPr>
          <w:b/>
          <w:i/>
          <w:color w:val="2E74B5"/>
          <w:sz w:val="28"/>
        </w:rPr>
        <w:t>Zakup sprzętu komputerowego z oprogramowaniem dla uruchomienia e-usług w SPZOZ MOZ w Zielonce  w ramach projektu „Uruchomienie e-usług w SPZOZ-MOZ w Zielonce”</w:t>
      </w:r>
    </w:p>
    <w:p>
      <w:pPr>
        <w:pStyle w:val="Default"/>
        <w:jc w:val="center"/>
        <w:rPr>
          <w:rFonts w:ascii="Calibri" w:hAnsi="Calibri" w:cs="Arial" w:asciiTheme="minorHAnsi" w:hAnsiTheme="minorHAnsi"/>
          <w:b/>
          <w:b/>
        </w:rPr>
      </w:pPr>
      <w:r>
        <w:rPr>
          <w:rFonts w:cs="Arial" w:ascii="Calibri" w:hAnsi="Calibri"/>
          <w:b/>
        </w:rPr>
      </w:r>
    </w:p>
    <w:p>
      <w:pPr>
        <w:pStyle w:val="Default"/>
        <w:jc w:val="center"/>
        <w:rPr>
          <w:rFonts w:ascii="Calibri" w:hAnsi="Calibri" w:cs="Arial" w:asciiTheme="minorHAnsi" w:hAnsiTheme="minorHAnsi"/>
          <w:b/>
          <w:b/>
        </w:rPr>
      </w:pPr>
      <w:r>
        <w:rPr>
          <w:rFonts w:cs="Arial" w:ascii="Calibri" w:hAnsi="Calibri"/>
          <w:b/>
        </w:rPr>
      </w:r>
    </w:p>
    <w:p>
      <w:pPr>
        <w:pStyle w:val="Default"/>
        <w:jc w:val="center"/>
        <w:rPr>
          <w:rFonts w:ascii="Calibri" w:hAnsi="Calibri" w:cs="Arial" w:asciiTheme="minorHAnsi" w:hAnsiTheme="minorHAnsi"/>
          <w:b/>
          <w:b/>
        </w:rPr>
      </w:pPr>
      <w:r>
        <w:rPr>
          <w:rFonts w:cs="Arial" w:ascii="Calibri" w:hAnsi="Calibri" w:asciiTheme="minorHAnsi" w:hAnsiTheme="minorHAnsi"/>
          <w:bCs/>
        </w:rPr>
        <w:t>Projekt współfinansowany ze środków</w:t>
      </w:r>
      <w:r>
        <w:rPr>
          <w:rFonts w:cs="Arial" w:ascii="Calibri" w:hAnsi="Calibri" w:asciiTheme="minorHAnsi" w:hAnsiTheme="minorHAnsi"/>
          <w:b/>
          <w:bCs/>
        </w:rPr>
        <w:t xml:space="preserve"> </w:t>
      </w:r>
      <w:r>
        <w:rPr>
          <w:rFonts w:cs="Arial" w:ascii="Calibri" w:hAnsi="Calibri" w:asciiTheme="minorHAnsi" w:hAnsiTheme="minorHAnsi"/>
          <w:bCs/>
        </w:rPr>
        <w:t xml:space="preserve">Europejskiego Funduszu Rozwoju Regionalnego </w:t>
        <w:br/>
        <w:t>w ramach</w:t>
      </w:r>
      <w:r>
        <w:rPr>
          <w:rFonts w:cs="Arial" w:ascii="Calibri" w:hAnsi="Calibri" w:asciiTheme="minorHAnsi" w:hAnsiTheme="minorHAnsi"/>
          <w:b/>
          <w:bCs/>
        </w:rPr>
        <w:t xml:space="preserve"> </w:t>
      </w:r>
      <w:r>
        <w:rPr>
          <w:rFonts w:cs="Arial" w:ascii="Calibri" w:hAnsi="Calibri" w:asciiTheme="minorHAnsi" w:hAnsiTheme="minorHAnsi"/>
        </w:rPr>
        <w:t>Regionalnego Programu Operacyjnego Województwa Mazowieckiego 2014-2020; Działanie 2.1 E-usługi, Poddziałanie 2.1.1 E-usługi dla Mazowsza</w:t>
      </w:r>
    </w:p>
    <w:p>
      <w:pPr>
        <w:pStyle w:val="Default"/>
        <w:jc w:val="center"/>
        <w:rPr>
          <w:rFonts w:ascii="Calibri" w:hAnsi="Calibri" w:cs="Calibri" w:asciiTheme="minorHAnsi" w:cstheme="minorHAnsi" w:hAnsiTheme="minorHAnsi"/>
          <w:b/>
          <w:b/>
          <w:bCs/>
          <w:sz w:val="28"/>
          <w:szCs w:val="28"/>
        </w:rPr>
      </w:pPr>
      <w:r>
        <w:rPr>
          <w:rFonts w:cs="Calibri" w:cstheme="minorHAnsi" w:ascii="Calibri" w:hAnsi="Calibri"/>
          <w:b/>
          <w:bCs/>
          <w:sz w:val="28"/>
          <w:szCs w:val="28"/>
        </w:rPr>
      </w:r>
    </w:p>
    <w:p>
      <w:pPr>
        <w:pStyle w:val="Normal"/>
        <w:spacing w:lineRule="auto" w:line="259" w:before="0" w:after="160"/>
        <w:rPr>
          <w:rFonts w:eastAsia="Times New Roman" w:cs="Arial"/>
          <w:b/>
          <w:b/>
          <w:bCs/>
          <w:kern w:val="2"/>
          <w:sz w:val="32"/>
          <w:szCs w:val="20"/>
          <w:lang w:eastAsia="pl-PL"/>
        </w:rPr>
      </w:pPr>
      <w:r>
        <w:rPr>
          <w:rFonts w:eastAsia="Times New Roman" w:cs="Arial"/>
          <w:b/>
          <w:bCs/>
          <w:kern w:val="2"/>
          <w:sz w:val="32"/>
          <w:szCs w:val="20"/>
          <w:lang w:eastAsia="pl-PL"/>
        </w:rPr>
      </w:r>
    </w:p>
    <w:p>
      <w:pPr>
        <w:pStyle w:val="Normal"/>
        <w:spacing w:lineRule="auto" w:line="259" w:before="0" w:after="160"/>
        <w:rPr>
          <w:rFonts w:eastAsia="Times New Roman" w:cs="Arial"/>
          <w:b/>
          <w:b/>
          <w:bCs/>
          <w:kern w:val="2"/>
          <w:sz w:val="32"/>
          <w:szCs w:val="20"/>
          <w:lang w:eastAsia="pl-PL"/>
        </w:rPr>
      </w:pPr>
      <w:r>
        <w:rPr>
          <w:rFonts w:eastAsia="Times New Roman" w:cs="Arial"/>
          <w:b/>
          <w:bCs/>
          <w:kern w:val="2"/>
          <w:sz w:val="32"/>
          <w:szCs w:val="20"/>
          <w:lang w:eastAsia="pl-PL"/>
        </w:rPr>
      </w:r>
    </w:p>
    <w:sdt>
      <w:sdtPr>
        <w:docPartObj>
          <w:docPartGallery w:val="Table of Contents"/>
          <w:docPartUnique w:val="true"/>
        </w:docPartObj>
      </w:sdtPr>
      <w:sdtContent>
        <w:p>
          <w:pPr>
            <w:pStyle w:val="TOCHeading"/>
            <w:jc w:val="center"/>
            <w:rPr>
              <w:b/>
              <w:b/>
              <w:bCs/>
            </w:rPr>
          </w:pPr>
          <w:r>
            <w:br w:type="page"/>
          </w:r>
          <w:r>
            <w:rPr>
              <w:b/>
              <w:bCs/>
            </w:rPr>
            <w:t>Spis treści</w:t>
          </w:r>
        </w:p>
        <w:p>
          <w:pPr>
            <w:pStyle w:val="Spistreci1"/>
            <w:tabs>
              <w:tab w:val="clear" w:pos="708"/>
              <w:tab w:val="left" w:pos="440" w:leader="none"/>
              <w:tab w:val="right" w:pos="9402" w:leader="dot"/>
            </w:tabs>
            <w:rPr>
              <w:rFonts w:eastAsia="" w:cs="" w:cstheme="minorBidi" w:eastAsiaTheme="minorEastAsia"/>
              <w:lang w:eastAsia="pl-PL"/>
            </w:rPr>
          </w:pPr>
          <w:r>
            <w:fldChar w:fldCharType="begin"/>
          </w:r>
          <w:r>
            <w:rPr>
              <w:webHidden/>
              <w:rStyle w:val="Czeindeksu"/>
              <w:b/>
              <w:kern w:val="2"/>
              <w:bCs/>
              <w:rFonts w:eastAsia="Times New Roman" w:cs="Arial"/>
              <w:lang w:eastAsia="pl-PL"/>
            </w:rPr>
            <w:instrText> TOC \z \o "1-3" \u \h</w:instrText>
          </w:r>
          <w:r>
            <w:rPr>
              <w:webHidden/>
              <w:rStyle w:val="Czeindeksu"/>
              <w:b/>
              <w:kern w:val="2"/>
              <w:bCs/>
              <w:rFonts w:eastAsia="Times New Roman" w:cs="Arial"/>
              <w:lang w:eastAsia="pl-PL"/>
            </w:rPr>
            <w:fldChar w:fldCharType="separate"/>
          </w:r>
          <w:hyperlink w:anchor="_Toc38875167">
            <w:r>
              <w:rPr>
                <w:webHidden/>
                <w:rStyle w:val="Czeindeksu"/>
                <w:rFonts w:eastAsia="Times New Roman" w:cs="Arial"/>
                <w:b/>
                <w:bCs/>
                <w:kern w:val="2"/>
                <w:lang w:eastAsia="pl-PL"/>
              </w:rPr>
              <w:t>1</w:t>
            </w:r>
            <w:r>
              <w:rPr>
                <w:rStyle w:val="Czeindeksu"/>
                <w:rFonts w:eastAsia="" w:cs="" w:cstheme="minorBidi" w:eastAsiaTheme="minorEastAsia"/>
                <w:lang w:eastAsia="pl-PL"/>
              </w:rPr>
              <w:tab/>
            </w:r>
            <w:r>
              <w:rPr>
                <w:rStyle w:val="Czeindeksu"/>
                <w:rFonts w:eastAsia="Times New Roman" w:cs="Arial"/>
                <w:b/>
                <w:bCs/>
                <w:kern w:val="2"/>
                <w:lang w:eastAsia="pl-PL"/>
              </w:rPr>
              <w:t>Wstęp</w:t>
            </w:r>
            <w:r>
              <w:rPr>
                <w:webHidden/>
              </w:rPr>
              <w:fldChar w:fldCharType="begin"/>
            </w:r>
            <w:r>
              <w:rPr>
                <w:webHidden/>
              </w:rPr>
              <w:instrText>PAGEREF _Toc38875167 \h</w:instrText>
            </w:r>
            <w:r>
              <w:rPr>
                <w:webHidden/>
              </w:rPr>
              <w:fldChar w:fldCharType="separate"/>
            </w:r>
            <w:r>
              <w:rPr>
                <w:rStyle w:val="Czeindeksu"/>
                <w:vanish w:val="false"/>
              </w:rPr>
              <w:tab/>
              <w:t>3</w:t>
            </w:r>
            <w:r>
              <w:rPr>
                <w:webHidden/>
              </w:rPr>
              <w:fldChar w:fldCharType="end"/>
            </w:r>
          </w:hyperlink>
        </w:p>
        <w:p>
          <w:pPr>
            <w:pStyle w:val="Spistreci1"/>
            <w:tabs>
              <w:tab w:val="clear" w:pos="708"/>
              <w:tab w:val="left" w:pos="440" w:leader="none"/>
              <w:tab w:val="right" w:pos="9402" w:leader="dot"/>
            </w:tabs>
            <w:rPr>
              <w:rFonts w:eastAsia="" w:cs="" w:cstheme="minorBidi" w:eastAsiaTheme="minorEastAsia"/>
              <w:lang w:eastAsia="pl-PL"/>
            </w:rPr>
          </w:pPr>
          <w:hyperlink w:anchor="_Toc38875168">
            <w:r>
              <w:rPr>
                <w:webHidden/>
                <w:rStyle w:val="Czeindeksu"/>
                <w:rFonts w:eastAsia="Times New Roman" w:cs="Arial"/>
                <w:b/>
                <w:bCs/>
                <w:kern w:val="2"/>
                <w:lang w:eastAsia="pl-PL"/>
              </w:rPr>
              <w:t>2</w:t>
            </w:r>
            <w:r>
              <w:rPr>
                <w:rStyle w:val="Czeindeksu"/>
                <w:rFonts w:eastAsia="" w:cs="" w:cstheme="minorBidi" w:eastAsiaTheme="minorEastAsia"/>
                <w:lang w:eastAsia="pl-PL"/>
              </w:rPr>
              <w:tab/>
            </w:r>
            <w:r>
              <w:rPr>
                <w:rStyle w:val="Czeindeksu"/>
                <w:rFonts w:eastAsia="Times New Roman" w:cs="Arial"/>
                <w:b/>
                <w:bCs/>
                <w:kern w:val="2"/>
                <w:lang w:eastAsia="pl-PL"/>
              </w:rPr>
              <w:t>Sprzęt</w:t>
            </w:r>
            <w:r>
              <w:rPr>
                <w:webHidden/>
              </w:rPr>
              <w:fldChar w:fldCharType="begin"/>
            </w:r>
            <w:r>
              <w:rPr>
                <w:webHidden/>
              </w:rPr>
              <w:instrText>PAGEREF _Toc38875168 \h</w:instrText>
            </w:r>
            <w:r>
              <w:rPr>
                <w:webHidden/>
              </w:rPr>
              <w:fldChar w:fldCharType="separate"/>
            </w:r>
            <w:r>
              <w:rPr>
                <w:rStyle w:val="Czeindeksu"/>
                <w:vanish w:val="false"/>
              </w:rPr>
              <w:tab/>
              <w:t>4</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69">
            <w:r>
              <w:rPr>
                <w:webHidden/>
                <w:rStyle w:val="Czeindeksu"/>
                <w:rFonts w:eastAsia="Times New Roman"/>
                <w:b/>
                <w:bCs/>
              </w:rPr>
              <w:t>2.1</w:t>
            </w:r>
            <w:r>
              <w:rPr>
                <w:rStyle w:val="Czeindeksu"/>
                <w:rFonts w:eastAsia="" w:cs="" w:cstheme="minorBidi" w:eastAsiaTheme="minorEastAsia"/>
                <w:lang w:eastAsia="pl-PL"/>
              </w:rPr>
              <w:tab/>
            </w:r>
            <w:r>
              <w:rPr>
                <w:rStyle w:val="Czeindeksu"/>
                <w:rFonts w:eastAsia="Times New Roman"/>
                <w:b/>
                <w:bCs/>
              </w:rPr>
              <w:t>Macierz dyskowa – 1 szt.</w:t>
            </w:r>
            <w:r>
              <w:rPr>
                <w:webHidden/>
              </w:rPr>
              <w:fldChar w:fldCharType="begin"/>
            </w:r>
            <w:r>
              <w:rPr>
                <w:webHidden/>
              </w:rPr>
              <w:instrText>PAGEREF _Toc38875169 \h</w:instrText>
            </w:r>
            <w:r>
              <w:rPr>
                <w:webHidden/>
              </w:rPr>
              <w:fldChar w:fldCharType="separate"/>
            </w:r>
            <w:r>
              <w:rPr>
                <w:rStyle w:val="Czeindeksu"/>
                <w:vanish w:val="false"/>
              </w:rPr>
              <w:tab/>
              <w:t>4</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0">
            <w:r>
              <w:rPr>
                <w:webHidden/>
                <w:rStyle w:val="Czeindeksu"/>
                <w:rFonts w:eastAsia="Times New Roman"/>
                <w:b/>
                <w:bCs/>
              </w:rPr>
              <w:t>2.2</w:t>
            </w:r>
            <w:r>
              <w:rPr>
                <w:rStyle w:val="Czeindeksu"/>
                <w:rFonts w:eastAsia="" w:cs="" w:cstheme="minorBidi" w:eastAsiaTheme="minorEastAsia"/>
                <w:lang w:eastAsia="pl-PL"/>
              </w:rPr>
              <w:tab/>
            </w:r>
            <w:r>
              <w:rPr>
                <w:rStyle w:val="Czeindeksu"/>
                <w:rFonts w:eastAsia="Times New Roman"/>
                <w:b/>
                <w:bCs/>
              </w:rPr>
              <w:t>Serwer – szt. 2</w:t>
            </w:r>
            <w:r>
              <w:rPr>
                <w:webHidden/>
              </w:rPr>
              <w:fldChar w:fldCharType="begin"/>
            </w:r>
            <w:r>
              <w:rPr>
                <w:webHidden/>
              </w:rPr>
              <w:instrText>PAGEREF _Toc38875170 \h</w:instrText>
            </w:r>
            <w:r>
              <w:rPr>
                <w:webHidden/>
              </w:rPr>
              <w:fldChar w:fldCharType="separate"/>
            </w:r>
            <w:r>
              <w:rPr>
                <w:rStyle w:val="Czeindeksu"/>
                <w:vanish w:val="false"/>
              </w:rPr>
              <w:tab/>
              <w:t>6</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1">
            <w:r>
              <w:rPr>
                <w:webHidden/>
                <w:rStyle w:val="Czeindeksu"/>
                <w:rFonts w:eastAsia="Times New Roman"/>
                <w:b/>
                <w:bCs/>
              </w:rPr>
              <w:t>2.3</w:t>
            </w:r>
            <w:r>
              <w:rPr>
                <w:rStyle w:val="Czeindeksu"/>
                <w:rFonts w:eastAsia="" w:cs="" w:cstheme="minorBidi" w:eastAsiaTheme="minorEastAsia"/>
                <w:lang w:eastAsia="pl-PL"/>
              </w:rPr>
              <w:tab/>
            </w:r>
            <w:r>
              <w:rPr>
                <w:rStyle w:val="Czeindeksu"/>
                <w:rFonts w:eastAsia="Times New Roman"/>
                <w:b/>
                <w:bCs/>
              </w:rPr>
              <w:t>Zasilacz awaryjny UPS – 2 szt.</w:t>
            </w:r>
            <w:r>
              <w:rPr>
                <w:webHidden/>
              </w:rPr>
              <w:fldChar w:fldCharType="begin"/>
            </w:r>
            <w:r>
              <w:rPr>
                <w:webHidden/>
              </w:rPr>
              <w:instrText>PAGEREF _Toc38875171 \h</w:instrText>
            </w:r>
            <w:r>
              <w:rPr>
                <w:webHidden/>
              </w:rPr>
              <w:fldChar w:fldCharType="separate"/>
            </w:r>
            <w:r>
              <w:rPr>
                <w:rStyle w:val="Czeindeksu"/>
                <w:vanish w:val="false"/>
              </w:rPr>
              <w:tab/>
              <w:t>10</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2">
            <w:r>
              <w:rPr>
                <w:webHidden/>
                <w:rStyle w:val="Czeindeksu"/>
                <w:rFonts w:eastAsia="Times New Roman"/>
                <w:b/>
                <w:bCs/>
              </w:rPr>
              <w:t>2.4</w:t>
            </w:r>
            <w:r>
              <w:rPr>
                <w:rStyle w:val="Czeindeksu"/>
                <w:rFonts w:eastAsia="" w:cs="" w:cstheme="minorBidi" w:eastAsiaTheme="minorEastAsia"/>
                <w:lang w:eastAsia="pl-PL"/>
              </w:rPr>
              <w:tab/>
            </w:r>
            <w:r>
              <w:rPr>
                <w:rStyle w:val="Czeindeksu"/>
                <w:rFonts w:eastAsia="Times New Roman"/>
                <w:b/>
                <w:bCs/>
              </w:rPr>
              <w:t>Dysk sieciowy – 1 szt.</w:t>
            </w:r>
            <w:r>
              <w:rPr>
                <w:webHidden/>
              </w:rPr>
              <w:fldChar w:fldCharType="begin"/>
            </w:r>
            <w:r>
              <w:rPr>
                <w:webHidden/>
              </w:rPr>
              <w:instrText>PAGEREF _Toc38875172 \h</w:instrText>
            </w:r>
            <w:r>
              <w:rPr>
                <w:webHidden/>
              </w:rPr>
              <w:fldChar w:fldCharType="separate"/>
            </w:r>
            <w:r>
              <w:rPr>
                <w:rStyle w:val="Czeindeksu"/>
                <w:vanish w:val="false"/>
              </w:rPr>
              <w:tab/>
              <w:t>11</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3">
            <w:r>
              <w:rPr>
                <w:webHidden/>
                <w:rStyle w:val="Czeindeksu"/>
                <w:rFonts w:eastAsia="Times New Roman"/>
                <w:b/>
                <w:bCs/>
              </w:rPr>
              <w:t>2.5</w:t>
            </w:r>
            <w:r>
              <w:rPr>
                <w:rStyle w:val="Czeindeksu"/>
                <w:rFonts w:eastAsia="" w:cs="" w:cstheme="minorBidi" w:eastAsiaTheme="minorEastAsia"/>
                <w:lang w:eastAsia="pl-PL"/>
              </w:rPr>
              <w:tab/>
            </w:r>
            <w:r>
              <w:rPr>
                <w:rStyle w:val="Czeindeksu"/>
                <w:rFonts w:eastAsia="Times New Roman"/>
                <w:b/>
                <w:bCs/>
              </w:rPr>
              <w:t>Komputer stacjonarny – szt. 57</w:t>
            </w:r>
            <w:r>
              <w:rPr>
                <w:webHidden/>
              </w:rPr>
              <w:fldChar w:fldCharType="begin"/>
            </w:r>
            <w:r>
              <w:rPr>
                <w:webHidden/>
              </w:rPr>
              <w:instrText>PAGEREF _Toc38875173 \h</w:instrText>
            </w:r>
            <w:r>
              <w:rPr>
                <w:webHidden/>
              </w:rPr>
              <w:fldChar w:fldCharType="separate"/>
            </w:r>
            <w:r>
              <w:rPr>
                <w:rStyle w:val="Czeindeksu"/>
                <w:vanish w:val="false"/>
              </w:rPr>
              <w:tab/>
              <w:t>12</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4">
            <w:r>
              <w:rPr>
                <w:webHidden/>
                <w:rStyle w:val="Czeindeksu"/>
                <w:rFonts w:eastAsia="Times New Roman"/>
                <w:b/>
                <w:bCs/>
              </w:rPr>
              <w:t>2.6</w:t>
            </w:r>
            <w:r>
              <w:rPr>
                <w:rStyle w:val="Czeindeksu"/>
                <w:rFonts w:eastAsia="" w:cs="" w:cstheme="minorBidi" w:eastAsiaTheme="minorEastAsia"/>
                <w:lang w:eastAsia="pl-PL"/>
              </w:rPr>
              <w:tab/>
            </w:r>
            <w:r>
              <w:rPr>
                <w:rStyle w:val="Czeindeksu"/>
                <w:rFonts w:eastAsia="Times New Roman"/>
                <w:b/>
                <w:bCs/>
              </w:rPr>
              <w:t>Monitor do zestawu komputerowego – 57 szt.</w:t>
            </w:r>
            <w:r>
              <w:rPr>
                <w:webHidden/>
              </w:rPr>
              <w:fldChar w:fldCharType="begin"/>
            </w:r>
            <w:r>
              <w:rPr>
                <w:webHidden/>
              </w:rPr>
              <w:instrText>PAGEREF _Toc38875174 \h</w:instrText>
            </w:r>
            <w:r>
              <w:rPr>
                <w:webHidden/>
              </w:rPr>
              <w:fldChar w:fldCharType="separate"/>
            </w:r>
            <w:r>
              <w:rPr>
                <w:rStyle w:val="Czeindeksu"/>
                <w:vanish w:val="false"/>
              </w:rPr>
              <w:tab/>
              <w:t>22</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5">
            <w:r>
              <w:rPr>
                <w:webHidden/>
                <w:rStyle w:val="Czeindeksu"/>
                <w:rFonts w:eastAsia="Times New Roman"/>
                <w:b/>
                <w:bCs/>
              </w:rPr>
              <w:t>2.7</w:t>
            </w:r>
            <w:r>
              <w:rPr>
                <w:rStyle w:val="Czeindeksu"/>
                <w:rFonts w:eastAsia="" w:cs="" w:cstheme="minorBidi" w:eastAsiaTheme="minorEastAsia"/>
                <w:lang w:eastAsia="pl-PL"/>
              </w:rPr>
              <w:tab/>
            </w:r>
            <w:r>
              <w:rPr>
                <w:rStyle w:val="Czeindeksu"/>
                <w:rFonts w:eastAsia="Times New Roman"/>
                <w:b/>
                <w:bCs/>
              </w:rPr>
              <w:t>Filtry prywatyzujące – 25 szt.</w:t>
            </w:r>
            <w:r>
              <w:rPr>
                <w:webHidden/>
              </w:rPr>
              <w:fldChar w:fldCharType="begin"/>
            </w:r>
            <w:r>
              <w:rPr>
                <w:webHidden/>
              </w:rPr>
              <w:instrText>PAGEREF _Toc38875175 \h</w:instrText>
            </w:r>
            <w:r>
              <w:rPr>
                <w:webHidden/>
              </w:rPr>
              <w:fldChar w:fldCharType="separate"/>
            </w:r>
            <w:r>
              <w:rPr>
                <w:rStyle w:val="Czeindeksu"/>
                <w:vanish w:val="false"/>
              </w:rPr>
              <w:tab/>
              <w:t>23</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6">
            <w:r>
              <w:rPr>
                <w:webHidden/>
                <w:rStyle w:val="Czeindeksu"/>
                <w:rFonts w:eastAsia="Times New Roman"/>
                <w:b/>
                <w:bCs/>
              </w:rPr>
              <w:t>2.8</w:t>
            </w:r>
            <w:r>
              <w:rPr>
                <w:rStyle w:val="Czeindeksu"/>
                <w:rFonts w:eastAsia="" w:cs="" w:cstheme="minorBidi" w:eastAsiaTheme="minorEastAsia"/>
                <w:lang w:eastAsia="pl-PL"/>
              </w:rPr>
              <w:tab/>
            </w:r>
            <w:r>
              <w:rPr>
                <w:rStyle w:val="Czeindeksu"/>
                <w:rFonts w:eastAsia="Times New Roman"/>
                <w:b/>
                <w:bCs/>
              </w:rPr>
              <w:t>Notebook (laptop) – 3 szt.</w:t>
            </w:r>
            <w:r>
              <w:rPr>
                <w:webHidden/>
              </w:rPr>
              <w:fldChar w:fldCharType="begin"/>
            </w:r>
            <w:r>
              <w:rPr>
                <w:webHidden/>
              </w:rPr>
              <w:instrText>PAGEREF _Toc38875176 \h</w:instrText>
            </w:r>
            <w:r>
              <w:rPr>
                <w:webHidden/>
              </w:rPr>
              <w:fldChar w:fldCharType="separate"/>
            </w:r>
            <w:r>
              <w:rPr>
                <w:rStyle w:val="Czeindeksu"/>
                <w:vanish w:val="false"/>
              </w:rPr>
              <w:tab/>
              <w:t>24</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7">
            <w:r>
              <w:rPr>
                <w:webHidden/>
                <w:rStyle w:val="Czeindeksu"/>
                <w:rFonts w:eastAsia="Times New Roman"/>
                <w:b/>
                <w:bCs/>
              </w:rPr>
              <w:t>2.9</w:t>
            </w:r>
            <w:r>
              <w:rPr>
                <w:rStyle w:val="Czeindeksu"/>
                <w:rFonts w:eastAsia="" w:cs="" w:cstheme="minorBidi" w:eastAsiaTheme="minorEastAsia"/>
                <w:lang w:eastAsia="pl-PL"/>
              </w:rPr>
              <w:tab/>
            </w:r>
            <w:r>
              <w:rPr>
                <w:rStyle w:val="Czeindeksu"/>
                <w:rFonts w:eastAsia="Times New Roman"/>
                <w:b/>
                <w:bCs/>
              </w:rPr>
              <w:t>Urządzenie wielofunkcyjne – 37 szt.</w:t>
            </w:r>
            <w:r>
              <w:rPr>
                <w:webHidden/>
              </w:rPr>
              <w:fldChar w:fldCharType="begin"/>
            </w:r>
            <w:r>
              <w:rPr>
                <w:webHidden/>
              </w:rPr>
              <w:instrText>PAGEREF _Toc38875177 \h</w:instrText>
            </w:r>
            <w:r>
              <w:rPr>
                <w:webHidden/>
              </w:rPr>
              <w:fldChar w:fldCharType="separate"/>
            </w:r>
            <w:r>
              <w:rPr>
                <w:rStyle w:val="Czeindeksu"/>
                <w:vanish w:val="false"/>
              </w:rPr>
              <w:tab/>
              <w:t>27</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8">
            <w:r>
              <w:rPr>
                <w:webHidden/>
                <w:rStyle w:val="Czeindeksu"/>
                <w:rFonts w:eastAsia="Times New Roman"/>
                <w:b/>
                <w:bCs/>
              </w:rPr>
              <w:t>2.10</w:t>
            </w:r>
            <w:r>
              <w:rPr>
                <w:rStyle w:val="Czeindeksu"/>
                <w:rFonts w:eastAsia="" w:cs="" w:cstheme="minorBidi" w:eastAsiaTheme="minorEastAsia"/>
                <w:lang w:eastAsia="pl-PL"/>
              </w:rPr>
              <w:tab/>
            </w:r>
            <w:r>
              <w:rPr>
                <w:rStyle w:val="Czeindeksu"/>
                <w:rFonts w:eastAsia="Times New Roman"/>
                <w:b/>
                <w:bCs/>
              </w:rPr>
              <w:t>Skaner – 2 szt.</w:t>
            </w:r>
            <w:r>
              <w:rPr>
                <w:webHidden/>
              </w:rPr>
              <w:fldChar w:fldCharType="begin"/>
            </w:r>
            <w:r>
              <w:rPr>
                <w:webHidden/>
              </w:rPr>
              <w:instrText>PAGEREF _Toc38875178 \h</w:instrText>
            </w:r>
            <w:r>
              <w:rPr>
                <w:webHidden/>
              </w:rPr>
              <w:fldChar w:fldCharType="separate"/>
            </w:r>
            <w:r>
              <w:rPr>
                <w:rStyle w:val="Czeindeksu"/>
                <w:vanish w:val="false"/>
              </w:rPr>
              <w:tab/>
              <w:t>28</w:t>
            </w:r>
            <w:r>
              <w:rPr>
                <w:webHidden/>
              </w:rPr>
              <w:fldChar w:fldCharType="end"/>
            </w:r>
          </w:hyperlink>
        </w:p>
        <w:p>
          <w:pPr>
            <w:pStyle w:val="Spistreci2"/>
            <w:tabs>
              <w:tab w:val="clear" w:pos="708"/>
              <w:tab w:val="left" w:pos="880" w:leader="none"/>
              <w:tab w:val="right" w:pos="9402" w:leader="dot"/>
            </w:tabs>
            <w:rPr>
              <w:rFonts w:eastAsia="" w:cs="" w:cstheme="minorBidi" w:eastAsiaTheme="minorEastAsia"/>
              <w:lang w:eastAsia="pl-PL"/>
            </w:rPr>
          </w:pPr>
          <w:hyperlink w:anchor="_Toc38875179">
            <w:r>
              <w:rPr>
                <w:webHidden/>
                <w:rStyle w:val="Czeindeksu"/>
                <w:rFonts w:eastAsia="Times New Roman"/>
                <w:b/>
                <w:bCs/>
              </w:rPr>
              <w:t>2.11</w:t>
            </w:r>
            <w:r>
              <w:rPr>
                <w:rStyle w:val="Czeindeksu"/>
                <w:rFonts w:eastAsia="" w:cs="" w:cstheme="minorBidi" w:eastAsiaTheme="minorEastAsia"/>
                <w:lang w:eastAsia="pl-PL"/>
              </w:rPr>
              <w:tab/>
            </w:r>
            <w:r>
              <w:rPr>
                <w:rStyle w:val="Czeindeksu"/>
                <w:rFonts w:eastAsia="Times New Roman"/>
                <w:b/>
                <w:bCs/>
              </w:rPr>
              <w:t>Drukarka kodów kreskowych – 4 szt.</w:t>
            </w:r>
            <w:r>
              <w:rPr>
                <w:webHidden/>
              </w:rPr>
              <w:fldChar w:fldCharType="begin"/>
            </w:r>
            <w:r>
              <w:rPr>
                <w:webHidden/>
              </w:rPr>
              <w:instrText>PAGEREF _Toc38875179 \h</w:instrText>
            </w:r>
            <w:r>
              <w:rPr>
                <w:webHidden/>
              </w:rPr>
              <w:fldChar w:fldCharType="separate"/>
            </w:r>
            <w:r>
              <w:rPr>
                <w:rStyle w:val="Czeindeksu"/>
                <w:vanish w:val="false"/>
              </w:rPr>
              <w:tab/>
              <w:t>28</w:t>
            </w:r>
            <w:r>
              <w:rPr>
                <w:webHidden/>
              </w:rPr>
              <w:fldChar w:fldCharType="end"/>
            </w:r>
          </w:hyperlink>
        </w:p>
        <w:p>
          <w:pPr>
            <w:pStyle w:val="Normal"/>
            <w:rPr/>
          </w:pPr>
          <w:r>
            <w:rPr/>
          </w:r>
          <w:r>
            <w:rPr/>
            <w:fldChar w:fldCharType="end"/>
          </w:r>
        </w:p>
      </w:sdtContent>
    </w:sdt>
    <w:p>
      <w:pPr>
        <w:pStyle w:val="Normal"/>
        <w:keepNext w:val="true"/>
        <w:keepLines/>
        <w:numPr>
          <w:ilvl w:val="0"/>
          <w:numId w:val="0"/>
        </w:numPr>
        <w:spacing w:lineRule="auto" w:line="360" w:before="240" w:after="240"/>
        <w:outlineLvl w:val="0"/>
        <w:rPr>
          <w:rFonts w:eastAsia="Times New Roman" w:cs="Arial"/>
          <w:b/>
          <w:b/>
          <w:bCs/>
          <w:kern w:val="2"/>
          <w:sz w:val="32"/>
          <w:szCs w:val="20"/>
          <w:lang w:eastAsia="pl-PL"/>
        </w:rPr>
      </w:pPr>
      <w:r>
        <w:rPr>
          <w:rFonts w:eastAsia="Times New Roman" w:cs="Arial"/>
          <w:b/>
          <w:bCs/>
          <w:kern w:val="2"/>
          <w:sz w:val="32"/>
          <w:szCs w:val="20"/>
          <w:lang w:eastAsia="pl-PL"/>
        </w:rPr>
      </w:r>
    </w:p>
    <w:p>
      <w:pPr>
        <w:pStyle w:val="Normal"/>
        <w:spacing w:lineRule="auto" w:line="259" w:before="0" w:after="160"/>
        <w:rPr>
          <w:rFonts w:eastAsia="Times New Roman" w:cs="Arial"/>
          <w:b/>
          <w:b/>
          <w:bCs/>
          <w:kern w:val="2"/>
          <w:sz w:val="32"/>
          <w:szCs w:val="20"/>
          <w:lang w:eastAsia="pl-PL"/>
        </w:rPr>
      </w:pPr>
      <w:r>
        <w:rPr>
          <w:rFonts w:eastAsia="Times New Roman" w:cs="Arial"/>
          <w:b/>
          <w:bCs/>
          <w:kern w:val="2"/>
          <w:sz w:val="32"/>
          <w:szCs w:val="20"/>
          <w:lang w:eastAsia="pl-PL"/>
        </w:rPr>
      </w:r>
      <w:r>
        <w:br w:type="page"/>
      </w:r>
    </w:p>
    <w:p>
      <w:pPr>
        <w:pStyle w:val="Normal"/>
        <w:keepNext w:val="true"/>
        <w:keepLines/>
        <w:numPr>
          <w:ilvl w:val="0"/>
          <w:numId w:val="3"/>
        </w:numPr>
        <w:tabs>
          <w:tab w:val="clear" w:pos="708"/>
          <w:tab w:val="left" w:pos="360" w:leader="none"/>
        </w:tabs>
        <w:spacing w:lineRule="auto" w:line="360" w:before="240" w:after="240"/>
        <w:ind w:left="0" w:hanging="0"/>
        <w:outlineLvl w:val="0"/>
        <w:rPr>
          <w:rFonts w:eastAsia="Times New Roman" w:cs="Arial"/>
          <w:b/>
          <w:b/>
          <w:bCs/>
          <w:kern w:val="2"/>
          <w:sz w:val="32"/>
          <w:szCs w:val="20"/>
          <w:lang w:eastAsia="pl-PL"/>
        </w:rPr>
      </w:pPr>
      <w:bookmarkStart w:id="0" w:name="_Toc38875167"/>
      <w:r>
        <w:rPr>
          <w:rFonts w:eastAsia="Times New Roman" w:cs="Arial"/>
          <w:b/>
          <w:bCs/>
          <w:kern w:val="2"/>
          <w:sz w:val="32"/>
          <w:szCs w:val="20"/>
          <w:lang w:eastAsia="pl-PL"/>
        </w:rPr>
        <w:t>Wstęp</w:t>
      </w:r>
      <w:bookmarkEnd w:id="0"/>
    </w:p>
    <w:p>
      <w:pPr>
        <w:pStyle w:val="Default"/>
        <w:spacing w:lineRule="auto" w:line="276" w:before="0" w:after="120"/>
        <w:jc w:val="both"/>
        <w:rPr>
          <w:rStyle w:val="Fontstyle01"/>
          <w:rFonts w:ascii="Calibri" w:hAnsi="Calibri" w:cs="Calibri" w:asciiTheme="minorHAnsi" w:cstheme="minorHAnsi" w:hAnsiTheme="minorHAnsi"/>
        </w:rPr>
      </w:pPr>
      <w:r>
        <w:rPr>
          <w:rStyle w:val="Fontstyle01"/>
          <w:rFonts w:cs="Calibri" w:ascii="Calibri" w:hAnsi="Calibri" w:asciiTheme="minorHAnsi" w:cstheme="minorHAnsi" w:hAnsiTheme="minorHAnsi"/>
        </w:rPr>
        <w:t>Niniejszy dokument określa minimalne wymagania sprzętu dla platformy informatycznej,</w:t>
      </w:r>
      <w:r>
        <w:rPr/>
        <w:t xml:space="preserve"> </w:t>
      </w:r>
      <w:r>
        <w:rPr>
          <w:rStyle w:val="Fontstyle01"/>
          <w:rFonts w:cs="Calibri" w:ascii="Calibri" w:hAnsi="Calibri" w:asciiTheme="minorHAnsi" w:cstheme="minorHAnsi" w:hAnsiTheme="minorHAnsi"/>
        </w:rPr>
        <w:t xml:space="preserve">która powinna zostać uruchomiona w ramach realizacji projektu pn.: „Uruchomienie e-usług w SPZOZ-MOZ w Zielonce”. </w:t>
      </w:r>
    </w:p>
    <w:p>
      <w:pPr>
        <w:pStyle w:val="Default"/>
        <w:spacing w:lineRule="auto" w:line="276" w:before="0" w:after="120"/>
        <w:jc w:val="both"/>
        <w:rPr>
          <w:rStyle w:val="Fontstyle01"/>
          <w:rFonts w:ascii="Calibri" w:hAnsi="Calibri" w:cs="Calibri" w:asciiTheme="minorHAnsi" w:cstheme="minorHAnsi" w:hAnsiTheme="minorHAnsi"/>
        </w:rPr>
      </w:pPr>
      <w:r>
        <w:rPr>
          <w:rStyle w:val="Fontstyle01"/>
          <w:rFonts w:cs="Calibri" w:ascii="Calibri" w:hAnsi="Calibri" w:asciiTheme="minorHAnsi" w:cstheme="minorHAnsi" w:hAnsiTheme="minorHAnsi"/>
        </w:rPr>
        <w:t>Projekt współfinansowany jest przez Unię Europejską ze środków Europejskiego Funduszu</w:t>
      </w:r>
      <w:r>
        <w:rPr/>
        <w:t xml:space="preserve"> </w:t>
      </w:r>
      <w:r>
        <w:rPr>
          <w:rStyle w:val="Fontstyle01"/>
          <w:rFonts w:cs="Calibri" w:ascii="Calibri" w:hAnsi="Calibri" w:asciiTheme="minorHAnsi" w:cstheme="minorHAnsi" w:hAnsiTheme="minorHAnsi"/>
        </w:rPr>
        <w:t>Rozwoju Regionalnego w ramach Regionalnego Programu Operacyjnego Województwa</w:t>
      </w:r>
      <w:r>
        <w:rPr/>
        <w:t xml:space="preserve"> </w:t>
      </w:r>
      <w:r>
        <w:rPr>
          <w:rStyle w:val="Fontstyle01"/>
          <w:rFonts w:cs="Calibri" w:ascii="Calibri" w:hAnsi="Calibri" w:asciiTheme="minorHAnsi" w:cstheme="minorHAnsi" w:hAnsiTheme="minorHAnsi"/>
        </w:rPr>
        <w:t>Mazowieckiego.</w:t>
      </w:r>
    </w:p>
    <w:p>
      <w:pPr>
        <w:pStyle w:val="Default"/>
        <w:spacing w:lineRule="auto" w:line="276" w:before="0" w:after="120"/>
        <w:jc w:val="both"/>
        <w:rPr>
          <w:rStyle w:val="Fontstyle01"/>
          <w:rFonts w:ascii="Calibri" w:hAnsi="Calibri" w:cs="Calibri" w:asciiTheme="minorHAnsi" w:cstheme="minorHAnsi" w:hAnsiTheme="minorHAnsi"/>
        </w:rPr>
      </w:pPr>
      <w:r>
        <w:rPr>
          <w:rStyle w:val="Fontstyle01"/>
          <w:rFonts w:cs="Calibri" w:ascii="Calibri" w:hAnsi="Calibri" w:asciiTheme="minorHAnsi" w:cstheme="minorHAnsi" w:hAnsiTheme="minorHAnsi"/>
        </w:rPr>
        <w:t>Zgodnie z wnioskiem o dofinansowanie przedmiotem projektu jest realizacja Projektu w wyniku, którego zostaną uruchomione e-usługi platformy</w:t>
      </w:r>
      <w:r>
        <w:rPr/>
        <w:t xml:space="preserve"> </w:t>
      </w:r>
      <w:r>
        <w:rPr>
          <w:rStyle w:val="Fontstyle01"/>
          <w:rFonts w:cs="Calibri" w:ascii="Calibri" w:hAnsi="Calibri" w:asciiTheme="minorHAnsi" w:cstheme="minorHAnsi" w:hAnsiTheme="minorHAnsi"/>
        </w:rPr>
        <w:t>oraz modernizacja infrastruktury sprzętowej i sieciowej. W ramach niniejszego zamówienia przewiduje się dostawę, montaż i uruchomienie poniżej przedstawionego</w:t>
      </w:r>
      <w:r>
        <w:rPr/>
        <w:br/>
      </w:r>
      <w:r>
        <w:rPr>
          <w:rStyle w:val="Fontstyle01"/>
          <w:rFonts w:cs="Calibri" w:ascii="Calibri" w:hAnsi="Calibri" w:asciiTheme="minorHAnsi" w:cstheme="minorHAnsi" w:hAnsiTheme="minorHAnsi"/>
        </w:rPr>
        <w:t>sprzętu komputerowego.</w:t>
      </w:r>
    </w:p>
    <w:p>
      <w:pPr>
        <w:pStyle w:val="Default"/>
        <w:spacing w:lineRule="auto" w:line="276" w:before="0" w:after="120"/>
        <w:jc w:val="both"/>
        <w:rPr>
          <w:rStyle w:val="Fontstyle01"/>
          <w:rFonts w:ascii="Calibri" w:hAnsi="Calibri" w:cs="Calibri" w:asciiTheme="minorHAnsi" w:cstheme="minorHAnsi" w:hAnsiTheme="minorHAnsi"/>
        </w:rPr>
      </w:pPr>
      <w:r>
        <w:rPr>
          <w:rStyle w:val="Fontstyle01"/>
          <w:rFonts w:cs="Calibri" w:ascii="Calibri" w:hAnsi="Calibri" w:asciiTheme="minorHAnsi" w:cstheme="minorHAnsi" w:hAnsiTheme="minorHAnsi"/>
        </w:rPr>
        <w:t xml:space="preserve">Dostawa sprzętu musi zawierać prekonfigurację, instalację oraz uruchomienie dostarczonego sprzętu informatycznego wraz z dostarczonym oprogramowaniem (system operacyjny, oprogramowaniem antywirusowym oraz oprogramowaniem biurowym. </w:t>
      </w:r>
    </w:p>
    <w:p>
      <w:pPr>
        <w:pStyle w:val="Default"/>
        <w:spacing w:lineRule="auto" w:line="276" w:before="0" w:after="120"/>
        <w:jc w:val="both"/>
        <w:rPr>
          <w:rStyle w:val="Fontstyle01"/>
          <w:rFonts w:ascii="Calibri" w:hAnsi="Calibri" w:cs="Calibri" w:asciiTheme="minorHAnsi" w:cstheme="minorHAnsi" w:hAnsiTheme="minorHAnsi"/>
        </w:rPr>
      </w:pPr>
      <w:r>
        <w:rPr>
          <w:rStyle w:val="Fontstyle01"/>
          <w:rFonts w:cs="Calibri" w:ascii="Calibri" w:hAnsi="Calibri" w:asciiTheme="minorHAnsi" w:cstheme="minorHAnsi" w:hAnsiTheme="minorHAnsi"/>
        </w:rPr>
        <w:t xml:space="preserve">Jeśli to nie wynika z innych zapisów gwarancja na sprzęt wynosi 3 lata. </w:t>
      </w:r>
    </w:p>
    <w:p>
      <w:pPr>
        <w:pStyle w:val="Default"/>
        <w:spacing w:lineRule="auto" w:line="276" w:before="0" w:after="12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Przedmiot zamówienia obejmuje zakup sprzętu komputerowego i oprogramowania w tym:</w:t>
      </w:r>
    </w:p>
    <w:tbl>
      <w:tblPr>
        <w:tblW w:w="5508" w:type="dxa"/>
        <w:jc w:val="center"/>
        <w:tblInd w:w="0" w:type="dxa"/>
        <w:tblCellMar>
          <w:top w:w="0" w:type="dxa"/>
          <w:left w:w="70" w:type="dxa"/>
          <w:bottom w:w="0" w:type="dxa"/>
          <w:right w:w="70" w:type="dxa"/>
        </w:tblCellMar>
        <w:tblLook w:firstRow="1" w:noVBand="0" w:lastRow="0" w:firstColumn="1" w:lastColumn="0" w:noHBand="0" w:val="00a0"/>
      </w:tblPr>
      <w:tblGrid>
        <w:gridCol w:w="506"/>
        <w:gridCol w:w="3822"/>
        <w:gridCol w:w="551"/>
        <w:gridCol w:w="628"/>
      </w:tblGrid>
      <w:tr>
        <w:trPr>
          <w:trHeight w:val="442" w:hRule="atLeast"/>
        </w:trPr>
        <w:tc>
          <w:tcPr>
            <w:tcW w:w="506"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spacing w:lineRule="auto" w:line="240" w:before="0" w:after="0"/>
              <w:jc w:val="center"/>
              <w:rPr>
                <w:rFonts w:ascii="Times New Roman" w:hAnsi="Times New Roman"/>
                <w:sz w:val="20"/>
                <w:szCs w:val="20"/>
              </w:rPr>
            </w:pPr>
            <w:r>
              <w:rPr>
                <w:rFonts w:ascii="Times New Roman" w:hAnsi="Times New Roman"/>
                <w:sz w:val="20"/>
                <w:szCs w:val="20"/>
              </w:rPr>
              <w:t>Lp.</w:t>
            </w:r>
          </w:p>
        </w:tc>
        <w:tc>
          <w:tcPr>
            <w:tcW w:w="3822"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spacing w:lineRule="auto" w:line="240" w:before="0" w:after="0"/>
              <w:jc w:val="center"/>
              <w:rPr>
                <w:rFonts w:ascii="Times New Roman" w:hAnsi="Times New Roman"/>
                <w:sz w:val="20"/>
                <w:szCs w:val="20"/>
              </w:rPr>
            </w:pPr>
            <w:r>
              <w:rPr>
                <w:rFonts w:ascii="Times New Roman" w:hAnsi="Times New Roman"/>
                <w:sz w:val="20"/>
                <w:szCs w:val="20"/>
              </w:rPr>
              <w:t>Przedmiot zamówienia</w:t>
            </w:r>
          </w:p>
        </w:tc>
        <w:tc>
          <w:tcPr>
            <w:tcW w:w="551"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spacing w:lineRule="auto" w:line="240" w:before="0" w:after="0"/>
              <w:jc w:val="center"/>
              <w:rPr>
                <w:rFonts w:ascii="Times New Roman" w:hAnsi="Times New Roman"/>
                <w:sz w:val="20"/>
                <w:szCs w:val="20"/>
              </w:rPr>
            </w:pPr>
            <w:r>
              <w:rPr>
                <w:rFonts w:ascii="Times New Roman" w:hAnsi="Times New Roman"/>
                <w:sz w:val="20"/>
                <w:szCs w:val="20"/>
              </w:rPr>
              <w:t>Ilość</w:t>
            </w:r>
          </w:p>
        </w:tc>
        <w:tc>
          <w:tcPr>
            <w:tcW w:w="628" w:type="dxa"/>
            <w:tcBorders>
              <w:top w:val="single" w:sz="8" w:space="0" w:color="000000"/>
              <w:bottom w:val="single" w:sz="4" w:space="0" w:color="000000"/>
              <w:right w:val="single" w:sz="4" w:space="0" w:color="000000"/>
            </w:tcBorders>
            <w:shd w:color="auto" w:fill="B4C6E7" w:val="clear"/>
            <w:vAlign w:val="center"/>
          </w:tcPr>
          <w:p>
            <w:pPr>
              <w:pStyle w:val="Normal"/>
              <w:spacing w:lineRule="auto" w:line="240" w:before="0" w:after="0"/>
              <w:jc w:val="center"/>
              <w:rPr>
                <w:rFonts w:ascii="Times New Roman" w:hAnsi="Times New Roman"/>
                <w:sz w:val="20"/>
                <w:szCs w:val="20"/>
              </w:rPr>
            </w:pPr>
            <w:r>
              <w:rPr>
                <w:rFonts w:ascii="Times New Roman" w:hAnsi="Times New Roman"/>
                <w:sz w:val="20"/>
                <w:szCs w:val="20"/>
              </w:rPr>
              <w:t>Jedn. Miary</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Macierz</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1</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 xml:space="preserve">Serwer </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2</w:t>
            </w:r>
          </w:p>
        </w:tc>
        <w:tc>
          <w:tcPr>
            <w:tcW w:w="62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szCs w:val="20"/>
              </w:rPr>
              <w:t>Licencje systemów operacyjnych</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4</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szCs w:val="20"/>
              </w:rPr>
              <w:t>Licencje CAL</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85</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Licencje TCAL</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10</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lineRule="auto" w:line="240"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Zasilacz awaryjny (UPS)</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2</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Dysk sieciowy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1</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Komputer stacjonarny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Monitor do zestawu komputerowego</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Program antywirusowy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Pakiet biurowy</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57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Filtry prywatyzujące</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25</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Notebook</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3</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Urządzenie wielofunkcyjne</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37</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Skaner</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2</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r>
        <w:trPr>
          <w:trHeight w:val="255" w:hRule="atLeast"/>
        </w:trPr>
        <w:tc>
          <w:tcPr>
            <w:tcW w:w="506"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numPr>
                <w:ilvl w:val="1"/>
                <w:numId w:val="2"/>
              </w:numPr>
              <w:spacing w:lineRule="auto" w:line="240" w:before="0" w:after="0"/>
              <w:contextualSpacing/>
              <w:rPr>
                <w:rFonts w:ascii="Times New Roman" w:hAnsi="Times New Roman" w:eastAsia="Times New Roman"/>
                <w:sz w:val="20"/>
                <w:szCs w:val="20"/>
              </w:rPr>
            </w:pPr>
            <w:r>
              <w:rPr>
                <w:rFonts w:eastAsia="Times New Roman" w:ascii="Times New Roman" w:hAnsi="Times New Roman"/>
                <w:sz w:val="20"/>
                <w:szCs w:val="20"/>
              </w:rPr>
            </w:r>
          </w:p>
        </w:tc>
        <w:tc>
          <w:tcPr>
            <w:tcW w:w="3822"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rPr>
                <w:rFonts w:ascii="Times New Roman" w:hAnsi="Times New Roman"/>
                <w:sz w:val="20"/>
              </w:rPr>
            </w:pPr>
            <w:r>
              <w:rPr>
                <w:rFonts w:ascii="Times New Roman" w:hAnsi="Times New Roman"/>
                <w:sz w:val="20"/>
              </w:rPr>
              <w:t>Drukarka kodów kreskowych</w:t>
            </w:r>
          </w:p>
        </w:tc>
        <w:tc>
          <w:tcPr>
            <w:tcW w:w="55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spacing w:lineRule="auto" w:line="240" w:before="0" w:after="0"/>
              <w:jc w:val="center"/>
              <w:rPr>
                <w:rFonts w:ascii="Times New Roman" w:hAnsi="Times New Roman"/>
                <w:sz w:val="20"/>
              </w:rPr>
            </w:pPr>
            <w:r>
              <w:rPr>
                <w:rFonts w:ascii="Times New Roman" w:hAnsi="Times New Roman"/>
                <w:sz w:val="20"/>
              </w:rPr>
              <w:t>4</w:t>
            </w:r>
          </w:p>
        </w:tc>
        <w:tc>
          <w:tcPr>
            <w:tcW w:w="6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spacing w:before="0" w:after="0"/>
              <w:jc w:val="center"/>
              <w:rPr>
                <w:rFonts w:ascii="Times New Roman" w:hAnsi="Times New Roman"/>
                <w:sz w:val="20"/>
              </w:rPr>
            </w:pPr>
            <w:r>
              <w:rPr>
                <w:rFonts w:ascii="Times New Roman" w:hAnsi="Times New Roman"/>
                <w:sz w:val="20"/>
              </w:rPr>
              <w:t>Szt.</w:t>
            </w:r>
          </w:p>
        </w:tc>
      </w:tr>
    </w:tbl>
    <w:p>
      <w:pPr>
        <w:pStyle w:val="Default"/>
        <w:spacing w:lineRule="auto" w:line="276" w:before="0" w:after="120"/>
        <w:jc w:val="both"/>
        <w:rPr>
          <w:rStyle w:val="Fontstyle01"/>
          <w:rFonts w:ascii="Calibri" w:hAnsi="Calibri" w:cs="Calibri" w:asciiTheme="minorHAnsi" w:cstheme="minorHAnsi" w:hAnsiTheme="minorHAnsi"/>
        </w:rPr>
      </w:pPr>
      <w:r>
        <w:rPr>
          <w:rFonts w:cs="Calibri" w:cstheme="minorHAnsi" w:ascii="Calibri" w:hAnsi="Calibri"/>
        </w:rPr>
      </w:r>
    </w:p>
    <w:p>
      <w:pPr>
        <w:pStyle w:val="Normal"/>
        <w:spacing w:before="120" w:after="120"/>
        <w:jc w:val="both"/>
        <w:rPr>
          <w:rFonts w:cs="Arial Narrow"/>
        </w:rPr>
      </w:pPr>
      <w:r>
        <w:rPr>
          <w:rFonts w:cs="Arial Narrow"/>
        </w:rPr>
        <w:t>Opisane poniżej wymagania stanowią zakres minimalnych oczekiwań Zamawiającego dla przedmiotu dostawy. Zamawiający dopuszcza równoważność rozwiązań.</w:t>
      </w:r>
    </w:p>
    <w:p>
      <w:pPr>
        <w:pStyle w:val="Normal"/>
        <w:spacing w:lineRule="auto" w:line="264" w:before="0" w:after="120"/>
        <w:ind w:right="6" w:hanging="0"/>
        <w:jc w:val="both"/>
        <w:rPr/>
      </w:pPr>
      <w:r>
        <w:rPr/>
        <w:t>Zamawiający informuje, że w przypadku, gdy określił w SIWZ, w tym w OPZ wymagania z użyciem znaków towarowych, patentów lub pochodzenia, źródła lub szczególnego procesu, który charakteryzuje produkty lub usługi dostarczane przez konkretnego wykonawcę, a także norm, europejskich ocen technicznych, aprobat, specyfikacji technicznych i systemów referencji technicznych, o których mowa w art. 30 ust. 1 pkt 2 i ust. 3 ustawy, to należy traktować takie określenie jako przykładowe. W każdym takim przypadku Zamawiający dopuszcza zaoferowanie rozwiązań równoważnych. Za rozwiązanie równoważne uważa się takie rozwiązanie, które pod względem technologii, wydajności i funkcjonalności oferowanych przez to rozwiązanie, nie odbiega znacząco od technologii funkcjonalności i wydajności wyszczególnionych w rozwiązaniu wyspecyfikowanym, przy czym nie podlegają porównaniu cechy rozwiązania właściwe</w:t>
        <w:br/>
        <w:t xml:space="preserve">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t>
      </w:r>
    </w:p>
    <w:p>
      <w:pPr>
        <w:pStyle w:val="Normal"/>
        <w:spacing w:lineRule="auto" w:line="264" w:before="0" w:after="120"/>
        <w:ind w:right="6" w:hanging="0"/>
        <w:jc w:val="both"/>
        <w:rPr/>
      </w:pPr>
      <w:r>
        <w:rPr/>
        <w:t>W związku z tym, Wykonawca może zaproponować rozwiązania, które realizują takie same funkcjonalności wyspecyfikowane przez Zamawiającego w inny, niż podany sposób. Za rozwiązanie równoważne nie można uznać rozwiązania identycznego (tożsamego), a jedynie takie, które w porównywanych cechach wykazuje dokładnie tą samą lub bardzo zbliżoną wartość użytkową. Przez bardzo zbliżoną wartość użytkową rozumie się podobne, z dopuszczeniem nieznacznych różnic nie wpływających w żadnym stopniu na całokształt systemu, zachowanie oraz realizowanie podobnych funkcjonalności w danych warunkach, identycznych dla obu rozwiązań, dla których to warunków rozwiązania te są dedykowane. Rozwiązanie równoważne musi zawierać dokumentację dostarczoną przez Wykonawcę potwierdzającą, iż spełnia wymagania funkcjonalne Zamawiającego, w tym wyniki porównań, testów, czy możliwości oferowanych przez to rozwiązanie w odniesieniu do rozwiązania wyspecyfikowanego.</w:t>
      </w:r>
    </w:p>
    <w:p>
      <w:pPr>
        <w:pStyle w:val="Normal"/>
        <w:spacing w:before="120" w:after="120"/>
        <w:jc w:val="both"/>
        <w:rPr>
          <w:rFonts w:cs="Arial Narrow"/>
        </w:rPr>
      </w:pPr>
      <w:r>
        <w:rPr>
          <w:rFonts w:cs="Arial Narrow"/>
        </w:rPr>
      </w:r>
    </w:p>
    <w:p>
      <w:pPr>
        <w:pStyle w:val="Default"/>
        <w:spacing w:lineRule="auto" w:line="276" w:before="0" w:after="120"/>
        <w:jc w:val="both"/>
        <w:rPr>
          <w:rFonts w:eastAsia="Calibri" w:eastAsiaTheme="minorHAnsi"/>
          <w:lang w:eastAsia="en-US"/>
        </w:rPr>
      </w:pPr>
      <w:r>
        <w:rPr>
          <w:rFonts w:eastAsia="Calibri" w:eastAsiaTheme="minorHAnsi"/>
          <w:lang w:eastAsia="en-US"/>
        </w:rPr>
      </w:r>
    </w:p>
    <w:p>
      <w:pPr>
        <w:pStyle w:val="Normal"/>
        <w:keepNext w:val="true"/>
        <w:keepLines/>
        <w:numPr>
          <w:ilvl w:val="0"/>
          <w:numId w:val="3"/>
        </w:numPr>
        <w:tabs>
          <w:tab w:val="clear" w:pos="708"/>
          <w:tab w:val="left" w:pos="360" w:leader="none"/>
        </w:tabs>
        <w:spacing w:lineRule="auto" w:line="360" w:before="240" w:after="240"/>
        <w:ind w:left="0" w:hanging="0"/>
        <w:outlineLvl w:val="0"/>
        <w:rPr>
          <w:rFonts w:eastAsia="Times New Roman" w:cs="Arial"/>
          <w:b/>
          <w:b/>
          <w:bCs/>
          <w:kern w:val="2"/>
          <w:sz w:val="32"/>
          <w:szCs w:val="20"/>
          <w:lang w:eastAsia="pl-PL"/>
        </w:rPr>
      </w:pPr>
      <w:bookmarkStart w:id="1" w:name="_Toc38875168"/>
      <w:r>
        <w:rPr>
          <w:rFonts w:eastAsia="Times New Roman" w:cs="Arial"/>
          <w:b/>
          <w:bCs/>
          <w:kern w:val="2"/>
          <w:sz w:val="32"/>
          <w:szCs w:val="20"/>
          <w:lang w:eastAsia="pl-PL"/>
        </w:rPr>
        <w:t>Sprzęt</w:t>
      </w:r>
      <w:bookmarkEnd w:id="1"/>
    </w:p>
    <w:p>
      <w:pPr>
        <w:pStyle w:val="Normal"/>
        <w:keepNext w:val="true"/>
        <w:keepLines/>
        <w:numPr>
          <w:ilvl w:val="1"/>
          <w:numId w:val="3"/>
        </w:numPr>
        <w:tabs>
          <w:tab w:val="clear" w:pos="708"/>
          <w:tab w:val="left" w:pos="567" w:leader="none"/>
        </w:tabs>
        <w:spacing w:lineRule="auto" w:line="360" w:before="240" w:after="240"/>
        <w:ind w:left="0" w:hanging="0"/>
        <w:outlineLvl w:val="1"/>
        <w:rPr>
          <w:rFonts w:eastAsia="Times New Roman"/>
          <w:b/>
          <w:b/>
          <w:bCs/>
          <w:sz w:val="28"/>
          <w:szCs w:val="28"/>
        </w:rPr>
      </w:pPr>
      <w:bookmarkStart w:id="2" w:name="_Toc38875169"/>
      <w:r>
        <w:rPr>
          <w:rFonts w:eastAsia="Times New Roman"/>
          <w:b/>
          <w:bCs/>
          <w:sz w:val="28"/>
          <w:szCs w:val="28"/>
        </w:rPr>
        <w:t>Macierz dyskowa – 1 szt.</w:t>
      </w:r>
      <w:bookmarkEnd w:id="2"/>
    </w:p>
    <w:tbl>
      <w:tblPr>
        <w:tblW w:w="9775" w:type="dxa"/>
        <w:jc w:val="left"/>
        <w:tblInd w:w="0" w:type="dxa"/>
        <w:tblCellMar>
          <w:top w:w="0" w:type="dxa"/>
          <w:left w:w="108" w:type="dxa"/>
          <w:bottom w:w="0" w:type="dxa"/>
          <w:right w:w="108" w:type="dxa"/>
        </w:tblCellMar>
        <w:tblLook w:firstRow="1" w:noVBand="0" w:lastRow="1" w:firstColumn="1" w:lastColumn="1" w:noHBand="0" w:val="01e0"/>
      </w:tblPr>
      <w:tblGrid>
        <w:gridCol w:w="571"/>
        <w:gridCol w:w="1690"/>
        <w:gridCol w:w="7514"/>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708"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Obudowa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Macierz musi mieć możliwość zainstalowania w standardowej szafie rack 19" nie będącej przedmiotem zamówienia.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Rozmiar jednostki sterującej macierzą nie może przekraczać 2U.</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Dodawanie kolejnych półek lub dysków musi odbywać się bezprzerwowo.</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sz w:val="20"/>
                <w:szCs w:val="20"/>
                <w:lang w:eastAsia="pl-PL"/>
              </w:rPr>
            </w:pPr>
            <w:r>
              <w:rPr>
                <w:rFonts w:eastAsia="Times New Roman" w:cs="Calibri" w:cstheme="minorHAnsi"/>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Kontrolery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Wymagane dwa moduły sterujące macierzą pracujące  w trybie active-active.  W przypadku wystąpienia awarii sprawny moduł musi automatycznie przejąć obsługę wszystkich zasobów prezentowanych przez macierz.</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Pamięć cache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Każdy z modułów sterujących musi być wyposażony w min 8 GB pamięci cache zabezpieczonej mechanizmem mirroringu.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Pamięć podręczna musi być zabezpieczona przed utratą danych w przypadku zaniku zasilania.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Dostępne porty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Oferowana macierz musi posiadać w chwili dostawy minimum 4 porty powalające na podłączenie do infrastruktury 10Gb iSCSI z wykorzystaniem kabli DAC lub z wykorzystaniem wkładek SFP+. Te same porty musza umożliwiać podłączenie do infrastruktury FC 16Gbs. Ponadto wymaga się możliwości jednoczesnego podłączenia do zasobów macierzy poprzez przynajmniej 4 porty SAS 12Gbs przy skonfigurowanych i działających powyższych portach iSCSI/FC.</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Poziomy RAID</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0,1,3,5,6,10</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Funkcjonalności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obsługiwać typy protekcji RAID 0,1,5,6,10 oraz powinna posiadać funkcjonalność zarzadzania informacjami o parzystości oraz dyskami spare w całej puli dysków. (w przypadki awarii dysku, do jego obudowy musi być używany każdy dysk z puli)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Macierz musi umożliwiać zwiększanie i zmniejszanie online pojemności poszczególnych wolumenów logicznych oraz dynamiczne alokowanie przestrzeni dyskowej (tzw. „thin provisioning”).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posiadać funkcjonalność sprawdzania integralności zapisywanych danych poprzez odczyt sumy kontrolnej z karty HBA podłączonego serwera.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Wymagana możliwość wykonania minimum 512 kopii migawkowych. Wymagana możliwość definiowania maksymalnej ilości kopii migawkowych. W przypadku osiągniecia zdefiniowanej ilości kopii system musi automatycznie kasować kopie najstarsze.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Ponadto macierz powinna posiadać funkcjonalność tworzenia konsystentnych kopii migawkowych ze wskazanych przestrzeni dyskowych.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Wymagana możliwość definiowania globalnych dysków hot-spare. Wymagana możliwość logicznej zamiany dysków z wykorzystaniem dysków nieprzypisanych.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posiadać automatyczny monitoring z możliwością informowania o awariach poprzez protokół smtp oraz snmp oraz możliwość wysyłania powiadomień awarii do wskazanych odbiorców. Wysyłane powiadomienia musza zawierać nazwę macierzy, informacje o typie zdarzenia, datę i czas wystąpienia zdarzenia oraz krótki opis zdarzenia. Macierz musi mieć możliwość definiowania poziomu zajętości miejsca, po osiągnieciu którego nastąpi wysłanie powiadomienia pod wskazane adresy email.</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System zarzadzania powinien posiadać funkcjonalność kreatora konfiguracji uruchamianego automatycznie w przypadku braku zdefiniowanych pul dyskowych i wolumenów, w przypadku braku zdefiniowanych powiadomień oraz braku wykrycia jakichkolwiek zadań wykonywanych na macierzy.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mieć funkcjonalność automatycznej detekcji podłączonych hostów (nazwa hosta oraz typ systemu operacyjnego). Musi być możliwość edycji hostów dodanych w sposób automatyczny.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Wymagana jest funkcjonalność automatycznego tworzenia przestrzeni dyskowych zoptymalizowanych pod katem używanych na nich aplikacji jak SQL Server, Exchange oraz Vmware vmfs.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Wymagana jest możliwość automatycznego logicznego grupowania dysków macierzy (dodawanie dysków do istniejącej grupy oraz tworzenie nowej grupy z dodanych dysków).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mieć możliwość definiowania priorytetu operacji wprowadzanych zmian konfiguracji w odniesieniu do obciążenia generowanego przez podłączone hosty.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Wymagana jest możliwość sprawdzenia aktualnych zadań macierzy.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umożliwiać szyfrowanie zapisywanych na niej danych. Jeżeli taka funkcjonalność wymaga licencji to nie wymaga się jej w chwili dostawy.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Macierz musi posiadać możliwość fizycznej identyfikacji (dioda LED) aktywowanej z interfejsu zarzadzania oraz funkcjonalność fizycznego identyfikowania dysków (dioda LED) należących do jednej przestrzeni logicznej.</w:t>
            </w:r>
          </w:p>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Macierz musi mieć możliwość przypisania wolumenu danych tylko do wybranego hosta należącego do zdefiniowanego klastra.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Wydajność</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Wymaga się możliwości rozbudowania macierzy do poziomu wydajności przynajmniej 98 000 operacji wejścia wyjścia dla losowego odczytu oraz przynajmniej 34 000 operacji wejścia wyjścia dla losowego zapisu. Wymagana maksymalna pojemność dla wolumenów z dynamiczna alokacja przestrzeni to przynajmniej 256 TB</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Zarzadzanie macierzą</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Dostępne dwa porty 1Gbe Base-T w trybie primary/redundant.</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Zarzadzanie macierzą powinno być możliwe za pomocą graficznego interfejsu użytkownika dostępnego poprzez protokół https, oraz za pomocą linii komend CLI osiągalnej poprzez protokół SSH. Interfejs zarzadzania powinien wylogować sesje po maksymalnie 15 minutach bezczynności. Maksymalna ilość prób podania hasła administratora nie może być większa niż 5 do momentu zablokowania dostępu. Wymagana możliwość autentykacji poprzez LDAP oraz funkcjonalność role-based access control.</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Wymaga się możliwości definiowania przynajmniej następujących poziomów dostępu do macierzy: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storage admin – pełen dostęp  z wyłączeniem ustawień bezpieczeństwa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securyty admin – dostęp do ustawień bezpieczeństwa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support admin – pełen dostęp serwisowy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monitor – możliwość odczytu konfiguracji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Producent zaoferowanej macierzy powinien udostępniać konsolę umożliwiającą dodawanie do domeny oraz zarzadzanie wieloma macierzami jednocześnie. Wymaga się możliwości importu konfiguracji z jednej macierzy na inne.</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Inne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eastAsia="zh-CN" w:bidi="hi-IN"/>
              </w:rPr>
            </w:pPr>
            <w:r>
              <w:rPr>
                <w:rFonts w:eastAsia="SimSun" w:cs="Calibri" w:cstheme="minorHAnsi"/>
                <w:sz w:val="20"/>
                <w:szCs w:val="20"/>
                <w:lang w:eastAsia="zh-CN" w:bidi="hi-IN"/>
              </w:rPr>
              <w:t xml:space="preserve">Wymagana jest bezprzerwowa wymiana następujących elementów macierzy: kontrolery, moduły I/O, dyski, zasilacze oraz moduły SFP+. </w:t>
            </w:r>
          </w:p>
          <w:p>
            <w:pPr>
              <w:pStyle w:val="Normal"/>
              <w:spacing w:lineRule="auto" w:line="240" w:before="0" w:after="0"/>
              <w:contextualSpacing/>
              <w:rPr>
                <w:rFonts w:eastAsia="SimSun" w:cs="Calibri" w:cstheme="minorHAnsi"/>
                <w:sz w:val="20"/>
                <w:szCs w:val="20"/>
                <w:lang w:val="en-US" w:eastAsia="zh-CN" w:bidi="hi-IN"/>
              </w:rPr>
            </w:pPr>
            <w:r>
              <w:rPr>
                <w:rFonts w:eastAsia="SimSun" w:cs="Calibri" w:cstheme="minorHAnsi"/>
                <w:sz w:val="20"/>
                <w:szCs w:val="20"/>
                <w:lang w:val="en-US" w:eastAsia="zh-CN" w:bidi="hi-IN"/>
              </w:rPr>
              <w:t>Obsluga systemów operacyjnych: Microsoft Windows Server 2016 oraz 2019, Red Hat Enterprise Linux 7, SUSE Linux Enterprise Server 12 i 15, VMware vSphere (ESXi) 6.5 i 6.7.</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Zainstalowane dyski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xml:space="preserve">Macierz musi obsługiwać dyski twarde obrotowe SAS, NL SAS oraz dyski SAS SSD. </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Macierz musi być wyposażona w 5 dysków min. 1.2TB SAS 10k każdy oraz min. 4 dyski  o pojemności min. 800GB 3DWD 2.5" SSD każdy.</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Macierz musi umożliwiać obsługę minimum 90 dysków.</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Chłodzenie/zasilanie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Redundantne chłodzenie i zasilanie.</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36 miesięcy </w:t>
            </w:r>
            <w:r>
              <w:rPr>
                <w:rFonts w:eastAsia="Times New Roman" w:cs="Calibri" w:cstheme="minorHAnsi"/>
                <w:b/>
                <w:bCs/>
                <w:sz w:val="20"/>
                <w:szCs w:val="20"/>
                <w:lang w:eastAsia="pl-PL"/>
              </w:rPr>
              <w:t>(lub dłużej zgodnie ze złożoną ofertą)</w:t>
            </w:r>
            <w:r>
              <w:rPr>
                <w:rFonts w:eastAsia="Times New Roman" w:cs="Calibri" w:cstheme="minorHAnsi"/>
                <w:sz w:val="20"/>
                <w:szCs w:val="20"/>
                <w:lang w:eastAsia="pl-PL"/>
              </w:rPr>
              <w:t xml:space="preserve"> gwarancji producenta w trybie 24/7/365 z 4 godzinnym czasem reakcji na miejscu u klienta. W razie awarii dyski pozostają u Zamawiającego.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Gwarancja i serwis urządzenia muszą być świadczone przez firmę autoryzowaną przez producenta lub jego przedstawicielstwo w Polsce w przypadku gdy Oferent nie posiada takiej autoryzacji.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4"/>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Dodatkowe wymagania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Urządzenie musi być fabrycznie nowe, pochodzić z autoryzowanego kanału sprzedaży producenta na terenie Polski i reprezentować model bieżącej linii produkcyjnej. Nie dopuszcza się urządzeń: odnawianych, demonstracyjnych lub powystawowych.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Sprzęt musi być fabrycznie zmontowany w fabryce producenta.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Urządzenie na etapie dostawy producent a Zamawiający nie może podlegać modyfikacjom w zakresie konfiguracji sprzętowej. Nie później niż na 3 dni przed dostawą sprzętu Wykonawca przekaże Zamawiającemu numery seryjne, w celu zweryfikowania u Producenta spełnienia ww. wymagań.  Powyższe, jest jednym z warunków podpisania protokołu odbioru przez Zamawiającego.</w:t>
            </w:r>
          </w:p>
        </w:tc>
      </w:tr>
    </w:tbl>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3" w:name="_Toc38875170"/>
      <w:r>
        <w:rPr>
          <w:rFonts w:eastAsia="Times New Roman"/>
          <w:b/>
          <w:bCs/>
          <w:sz w:val="28"/>
          <w:szCs w:val="28"/>
        </w:rPr>
        <w:t>Serwer – szt. 2</w:t>
      </w:r>
      <w:bookmarkEnd w:id="3"/>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tbl>
      <w:tblPr>
        <w:tblW w:w="9776" w:type="dxa"/>
        <w:jc w:val="left"/>
        <w:tblInd w:w="-5" w:type="dxa"/>
        <w:tblCellMar>
          <w:top w:w="0" w:type="dxa"/>
          <w:left w:w="108" w:type="dxa"/>
          <w:bottom w:w="0" w:type="dxa"/>
          <w:right w:w="108" w:type="dxa"/>
        </w:tblCellMar>
        <w:tblLook w:firstRow="1" w:noVBand="0" w:lastRow="1" w:firstColumn="1" w:lastColumn="1" w:noHBand="0" w:val="01e0"/>
      </w:tblPr>
      <w:tblGrid>
        <w:gridCol w:w="571"/>
        <w:gridCol w:w="1691"/>
        <w:gridCol w:w="7514"/>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570"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Obudowa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Do instalacji w szafie Rack 19", wysokość nie więcej niż 1U, z zestawem szyn do mocowania w szafie i wysuwania do celów serwisowych oraz uchwytem na kable .</w:t>
            </w:r>
          </w:p>
        </w:tc>
      </w:tr>
      <w:tr>
        <w:trPr>
          <w:trHeight w:val="95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Procesor</w:t>
            </w:r>
          </w:p>
        </w:tc>
        <w:tc>
          <w:tcPr>
            <w:tcW w:w="751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Procesor najnowszej generacji. Architektura x86 lub x86-x64, maksymalny TDP dla procesora – 85W. Minimalna ilość rdzeni dla procesora – 10. </w:t>
            </w:r>
            <w:bookmarkStart w:id="4" w:name="_Hlk38435375"/>
            <w:r>
              <w:rPr>
                <w:rFonts w:eastAsia="Times New Roman" w:cs="Calibri" w:cstheme="minorHAnsi"/>
                <w:sz w:val="20"/>
                <w:szCs w:val="20"/>
                <w:lang w:eastAsia="pl-PL"/>
              </w:rPr>
              <w:t>Wynik wydajności procesora instalowanego w oferowanym serwerze powinien wynosić minimum 110 punktów w teście SPECrate2017_int_base</w:t>
            </w:r>
            <w:bookmarkEnd w:id="4"/>
            <w:r>
              <w:rPr>
                <w:rFonts w:eastAsia="Times New Roman" w:cs="Calibri" w:cstheme="minorHAnsi"/>
                <w:sz w:val="20"/>
                <w:szCs w:val="20"/>
                <w:lang w:eastAsia="pl-PL"/>
              </w:rPr>
              <w:t xml:space="preserve"> opublikowanym na stronie </w:t>
            </w:r>
            <w:bookmarkStart w:id="5" w:name="_Hlk38435387"/>
            <w:r>
              <w:rPr>
                <w:rFonts w:eastAsia="Times New Roman" w:cs="Calibri" w:cstheme="minorHAnsi"/>
                <w:sz w:val="20"/>
                <w:szCs w:val="20"/>
                <w:lang w:eastAsia="pl-PL"/>
              </w:rPr>
              <w:t xml:space="preserve">www.spec.org </w:t>
            </w:r>
            <w:bookmarkEnd w:id="5"/>
            <w:r>
              <w:rPr>
                <w:rFonts w:eastAsia="Times New Roman" w:cs="Calibri" w:cstheme="minorHAnsi"/>
                <w:sz w:val="20"/>
                <w:szCs w:val="20"/>
                <w:lang w:eastAsia="pl-PL"/>
              </w:rPr>
              <w:t xml:space="preserve">dla konfiguracji dwuprocesorowej. </w:t>
            </w:r>
          </w:p>
          <w:p>
            <w:pPr>
              <w:pStyle w:val="Normal"/>
              <w:snapToGrid w:val="false"/>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r>
          </w:p>
          <w:p>
            <w:pPr>
              <w:pStyle w:val="Normal"/>
              <w:snapToGrid w:val="false"/>
              <w:spacing w:lineRule="auto" w:line="240" w:before="0" w:after="0"/>
              <w:contextualSpacing/>
              <w:rPr>
                <w:rFonts w:eastAsia="Times New Roman" w:cs="Calibri" w:cstheme="minorHAnsi"/>
                <w:b/>
                <w:b/>
                <w:sz w:val="20"/>
                <w:szCs w:val="20"/>
                <w:u w:val="single"/>
                <w:lang w:eastAsia="pl-PL"/>
              </w:rPr>
            </w:pPr>
            <w:r>
              <w:rPr>
                <w:rFonts w:eastAsia="Times New Roman" w:cs="Calibri" w:cstheme="minorHAnsi"/>
                <w:b/>
                <w:sz w:val="20"/>
                <w:szCs w:val="20"/>
                <w:u w:val="single"/>
                <w:lang w:eastAsia="pl-PL"/>
              </w:rPr>
              <w:t>Dokumenty potwierdzające spełnienie powyższych wymagań załączyć na wezwanie Zamawiającego zgodnie z art. 26 ust. 1 ustawy prawo zamówień publicznych. Test przeprowadzony przez producenta serwera musi być zamieszczony na stronie www.spec.org</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Płyta główna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Płyta główna dedykowana do pracy w serwerach, wyprodukowana przez producenta serwera z możliwością zainstalowania do dwóch procesorów wykonujących 64-bitowe instrukcje AMD64 lub EM64T. Możliwość instalacji procesorów 24-rdzeniowych</w:t>
            </w:r>
          </w:p>
        </w:tc>
      </w:tr>
      <w:tr>
        <w:trPr>
          <w:trHeight w:val="41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Pamięć RAM</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Zainstalowane min. 96 GB pamięci RAM w kościach 32GB o częstotliwości min. 2933 MHz</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Minimum 16 slotów na pamięć, wsparcie pamięci typu RDIMM oraz LRDIMM.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Obsługa do 2 TB pamięci operacyjnej potwierdzona w dokumentacji producenta dostępnej na oficjalnej stronie www producenta w dniu składania ofert.</w:t>
            </w:r>
          </w:p>
        </w:tc>
      </w:tr>
      <w:tr>
        <w:trPr>
          <w:trHeight w:val="47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Zabezpieczenie pamięci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val="en-US" w:eastAsia="pl-PL"/>
              </w:rPr>
            </w:pPr>
            <w:r>
              <w:rPr>
                <w:rFonts w:eastAsia="Times New Roman" w:cs="Calibri" w:cstheme="minorHAnsi"/>
                <w:sz w:val="20"/>
                <w:szCs w:val="20"/>
                <w:lang w:val="en-US" w:eastAsia="pl-PL"/>
              </w:rPr>
              <w:t>error correction code (ECC), memory mirroring, memory rank sparing, patrol scrubbing, and demand scrubbing;</w:t>
            </w:r>
          </w:p>
        </w:tc>
      </w:tr>
      <w:tr>
        <w:trPr>
          <w:trHeight w:val="740"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Procesor Graficzny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Zintegrowana karta graficzna z minimum 16MB pamięci osiągająca rozdzielczość 1920x1200 przy 60 Hz.</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Obsługa 2 portów DB-15 video (z tyłu i przodu obudowy).</w:t>
            </w:r>
          </w:p>
        </w:tc>
      </w:tr>
      <w:tr>
        <w:trPr>
          <w:trHeight w:val="435"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Dyski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Zainstalowane dyski: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co najmniej dwa identyczne dyski 300GB 10K SAS 12Gb Hot Swap</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Serwer powinien umożliwiać zainstalowanie do 10 dysków 2.5" Hot Swap w tym 4x NVMe</w:t>
            </w:r>
          </w:p>
        </w:tc>
      </w:tr>
      <w:tr>
        <w:trPr>
          <w:trHeight w:val="435"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Rozbudowa dysków</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Możliwość instalacji dysków SED</w:t>
            </w:r>
          </w:p>
        </w:tc>
      </w:tr>
      <w:tr>
        <w:trPr>
          <w:trHeight w:val="35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Napęd optyczny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Nagrywarka DVD-RW</w:t>
            </w:r>
          </w:p>
        </w:tc>
      </w:tr>
      <w:tr>
        <w:trPr>
          <w:trHeight w:val="735"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Kontroler dyskowy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Dedykowany kontroler dyskowy, o parametrach nie gorszych niż:</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interfejs komunikacji z serwerem: PCIe 3.0 x8 lub szybszy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interfejsy komunikacji z dyskami: SAS 12Gbps, z obsługą dysków SAS oraz SATA, co najmniej 8 portów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funkcja zarzadzania kluczami dla dysków SED</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funkcja akceleracji komunikacji I/O z dyskami SSD</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obsługa RAID 0, 1, 5 ,10, 50</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rozbudowa pojemności systemu dyskowego on-line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migracja wersji RAID on-line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automatyczna przebudowa grupy RAID</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obsługa global hot spare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kontrola spójności danych w grupie RAID</w:t>
            </w:r>
          </w:p>
        </w:tc>
      </w:tr>
      <w:tr>
        <w:trPr>
          <w:trHeight w:val="735"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highlight w:val="red"/>
                <w:lang w:eastAsia="pl-PL"/>
              </w:rPr>
            </w:pPr>
            <w:r>
              <w:rPr>
                <w:rFonts w:eastAsia="Times New Roman" w:cs="Calibri" w:cstheme="minorHAnsi"/>
                <w:b/>
                <w:sz w:val="20"/>
                <w:szCs w:val="20"/>
                <w:lang w:eastAsia="pl-PL"/>
              </w:rPr>
              <w:t>11.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Dodatkowy kontroler</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Zainstalowany dodatkowy kontroler SAS HBA z 2 portami zewnętrznymi typu 12 Gb SAS umożliwiający podłączenie dostarczonej macierzy;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Do każdego serwera należy dostarczyć 2 kable SAS o długości min. 2m;</w:t>
            </w:r>
          </w:p>
        </w:tc>
      </w:tr>
      <w:tr>
        <w:trPr>
          <w:trHeight w:val="853"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Zasilacz</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Minimum dwa identyczne zasilacze zainstalowane wewnątrz serwera, pracujące redundantnie, zapewniające możliwość wyłączenia i wyjęcia dowolnego z nich z serwera bez przerywania pracy serwera oraz bez ograniczania wydajności serwera, o mocy każdego zasilacza nie przekraczającej 750W, z certyfikatem minimum Titanium.</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Interfejsy sieciowe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Zainstalowane min. 4 porty RJ-45 Gigabit Ethernet 1000 BASE-T (min.2 karty 2-portowe dla redundancji).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Możliwość wymiany jednej karty 2 portowej RJ-45 Gigabit Ethernet 1000 BASE-T i instalację portów  2x 10 GbE RJ-45, 2x 10Gb SFP+ bez zajmowania slotu PCI.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Dodatkowy jeden port RJ-45 o przepustowości 1GbE dedykowany dla karty zarządzającej.</w:t>
            </w:r>
          </w:p>
        </w:tc>
      </w:tr>
      <w:tr>
        <w:trPr>
          <w:trHeight w:val="56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Dodatkowe porty</w:t>
            </w:r>
          </w:p>
        </w:tc>
        <w:tc>
          <w:tcPr>
            <w:tcW w:w="751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 xml:space="preserve">z tyłu obudowy: min. 2x USB 3.0, 1x DB-15 video, 1x RJ-45 do karty zarządzającej, 1x COM   </w:t>
            </w:r>
          </w:p>
          <w:p>
            <w:pPr>
              <w:pStyle w:val="Normal"/>
              <w:suppressAutoHyphens w:val="true"/>
              <w:snapToGrid w:val="false"/>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 xml:space="preserve">z przodu: min. 1x USB 2.0, 1x USB 3.0 port. 1x DB-15 VGA port </w:t>
            </w:r>
          </w:p>
        </w:tc>
      </w:tr>
      <w:tr>
        <w:trPr>
          <w:trHeight w:val="568"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Wewnętrzna pamięć flash</w:t>
            </w:r>
          </w:p>
        </w:tc>
        <w:tc>
          <w:tcPr>
            <w:tcW w:w="751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Możliwość instalacji w serwerze rozwiązania umożliwiającego użycie dysków typu SSD M.2 o pojemności minimum 32GB z mechanizmem ich redundancji.</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16.</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Chłodzenie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Wentylatory wspierające wymianę Hot-Swap. Dostępne 6 wentylatorów.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Dwie strefy chłodzenia, dla wentylatorów dostępna redundancja minimum N+1.</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17.</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Zarządzanie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Zintegrowany z płytą główną serwera, niezależny od systemu operacyjnego, sprzętowy kontroler zdalnego zarządzania zgodny ze standardem IPMI 2.0, SNMP i CIM umożliwiający: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zdalny restart serwera i zarządzanie serwerem poprzez połączenie w sieci TCP/IP przy użyciu przeglądarki internetowej,</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przejęcie konsoli graficznej</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podłączanie wirtualnego napędu</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jednoczesny dostęp do konsoli przez minimum czterech użytkowników,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 xml:space="preserve">włączanie/wyłączanie serwera, reinstalację systemu operacyjnego,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autentykację użytkowników przy pomocy bezpiecznego połączenia z serwerem LDAP (Lightwieght Directory Access Protocol), monitoring oraz zażądanie mocą i jej zużyciem. Kontroler zdalnego zarządzania wspierający DNS (Domain Name System) oraz DHCP (Dynamic Host Configuration Protocol)</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Funkcjonalność przewidywania awarii poprzez monitoring odchyleń od normy działania komponentów takich jak: procesory, pamięć, VRM, dyski, zasilacze i wentylatory.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Wraz z serwerem powinno zostać dostarczone dodatkowe oprogramowanie zarządzające umożliwiające: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zarządzenie infrastruktura serwerów, przełączników i storage bez udziału dedykowanego agenta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przedstawianie graficznej reprezentacji zarządzanych urządzeń</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skalowania do minimum 560 urządzeń</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udostępnianie szybkiego podgląd stanu środowiska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udostępnianie podsumowania stanu dla każdego urządzenia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tworzenie alertów przy zmianie stanu urządzenia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monitorowanie oraz tracking zużycia energii przez monitorowane urządzenie, możliwość ustalania granicy zużycia energii,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konsola zarzadzania oparta o HTML 5</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dostępność konsoli monitorującej na urządzeniach przenośnych ze wsparciem dla systemu Android oraz iOS</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automatyczne wykrywanie dołączanych systemów oraz szczegółowa inwentaryzacja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podnoszenia wersji oprogramowania dla komponentów zarządzanych serwerów w oparciu o repozytorium lokalne jak i zdalne dostępne na stronie producenta oferowanego rozwiązania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definiowanie polityk zgodności wersji firmware komponentów zarządzanych urządzeń</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definiowanie roli użytkowników oprogramowania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obsługa REST API oraz Windows PowerShell</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obsługa SNMP, SYSLOG, Email Forwarding</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autentykacja użytkowników: centralna (możliwość definiowania wymaganego poziomu skomplikowania danych autentykacyjnych) oraz integracja z MS AD oraz obsługa single sign on oraz SAML</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wsparcie dla NIST 800-131A oraz FIPS 140-2</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obsługa tzw. Forward Secrecy w komunikacji z zarządzanymi urządzeniami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przedstawianie historycznych aktywności użytkowników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wsparcie dla certyfikatów SSL tzw. self-signed oraz zewnętrznych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-blokowanie możliwości podłączenia innego systemu zarzadzania do urządzeń zarządzanych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tworzenie dziennika zdarzeń ukończonych sukcesem lub bledem,  oraz zdarzeń będących w trakcie. Możliwość definiowania filtrów wyświetlanych zdarzeń z dziennika. Możliwość eksportu dziennika zdarzeń do pliku CSV</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Obsluga NTP</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automatycznego tworzenia zgłoszeń w centrum serwisowym producenta dla określonych zdarzeń wraz z przesypem plików diagnostycznych,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przesyłanie alertów do konsoli firm trzecich.</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18.</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 xml:space="preserve">Funkcje zabezpieczeń </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Hasło włączania, hasło administratora, moduł TPM w wersji 2.0</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19.</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Urządzenia hot swap</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Co najmniej dyski twarde, zasilacze oraz wentylatory</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20.</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Diagnostyka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Dioda(y) LED na froncie obudowy sygnalizujące poprawną pracę serwera lub awarię. Serwer musi być wyposażony także w system diod LED na płycie głównej wskazujących awarie komponentów takich jak: kości pamięci, procesory, wentylatory, karty SD.</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21.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Obsługiwane systemy operacyjne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val="en-US" w:eastAsia="pl-PL"/>
              </w:rPr>
            </w:pPr>
            <w:r>
              <w:rPr>
                <w:rFonts w:eastAsia="Times New Roman" w:cs="Calibri" w:cstheme="minorHAnsi"/>
                <w:sz w:val="20"/>
                <w:szCs w:val="20"/>
                <w:lang w:val="en-US" w:eastAsia="pl-PL"/>
              </w:rPr>
              <w:t>Microsoft Windows Server 2016 oraz 2019, Red Hat Enterprise Linux 7, SUSE Linux Enterprise Server 12 i 15, VMware vSphere (ESXi) 6.5 i 6.7</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val="en-US" w:eastAsia="pl-PL"/>
              </w:rPr>
            </w:pPr>
            <w:r>
              <w:rPr>
                <w:rFonts w:eastAsia="Times New Roman" w:cs="Calibri" w:cstheme="minorHAnsi"/>
                <w:b/>
                <w:sz w:val="20"/>
                <w:szCs w:val="20"/>
                <w:lang w:val="en-US" w:eastAsia="pl-PL"/>
              </w:rPr>
              <w:t>22.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System operacyjny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jc w:val="both"/>
              <w:rPr>
                <w:rFonts w:eastAsia="Times New Roman" w:cs="Calibri" w:cstheme="minorHAnsi"/>
                <w:b/>
                <w:b/>
                <w:sz w:val="20"/>
                <w:szCs w:val="20"/>
                <w:lang w:eastAsia="pl-PL"/>
              </w:rPr>
            </w:pPr>
            <w:r>
              <w:rPr>
                <w:rFonts w:eastAsia="Times New Roman" w:cs="Calibri" w:cstheme="minorHAnsi"/>
                <w:b/>
                <w:sz w:val="20"/>
                <w:szCs w:val="20"/>
                <w:lang w:eastAsia="pl-PL"/>
              </w:rPr>
              <w:t>Uwaga: Licencja powinna być zgodna z ilością core serwera(ów) jeśli jest to wymagane przez producenta oprogramowania systemowego.</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a) Licencja musi uprawniać do uruchamiania 4 (cztery) wirtualnych środowisk serwerowego systemu operacyjnego w klastrze active-pasive za pomocą wbudowanych mechanizmów wirtualizacji.</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b) Możliwość migracji maszyn wirtualnych bez zatrzymywania ich pracy między fizycznymi serwerami z uruchomionym mechanizmem wirtualizacji (hypervisor) przez sieć Ethernet, bez konieczności stosowania dodatkowych mechanizmów współdzielenia pamięci.</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c) Wsparcie (na umożliwiającym to sprzęcie) dodawania i wymiany pamięci RAM bez przerywania pracy.</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d) Wsparcie (na umożliwiającym to sprzęcie) dodawania i wymiany procesorów bez przerywania pracy.</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e) Automatyczna weryfikacja cyfrowych sygnatur sterowników w celu sprawdzenia, czy sterownik przeszedł testy jakości przeprowadzone przez producenta systemu operacyjnego.</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f) Możliwość dynamicznego obniżania poboru energii przez rdzenie procesorów niewykorzystywane w bieżącej pracy. Mechanizm ten musi uwzględniać specyfikę procesorów wyposażonych w mechanizmy Hyper-Threading.</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g) Wbudowany mechanizm klasyfikowania i indeksowania plików (dokumentów) w oparciu o ich zawartość.</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h) Wbudowane szyfrowanie dysków przy pomocy mechanizmów posiadających certyfikat FIPS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i) 140-2 lub równoważny wydany przez NIST lub inną agendę rządową zajmującą się bezpieczeństwem informacji.</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j) Możliwość uruchamianie aplikacji internetowych wykorzystujących technologię ASP.NET.</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k) Możliwość dystrybucji ruchu sieciowego HTTP pomiędzy kilka serwerów.</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l) Wbudowana zapora internetowa (firewall) z obsługą definiowanych reguł dla ochrony połączeń internetowych i intranetowych.</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m) Graficzny interfejs użytkownika.</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n) Zlokalizowane w języku polskim, co najmniej następujące elementy: menu, przeglądarka internetowa, pomoc, komunikaty systemowe.</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o) Wsparcie dla większości powszechnie używanych urządzeń peryferyjnych (drukarek, urządzeń sieciowych, standardów USB, Plug&amp;Play).</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p) Możliwość zdalnej konfiguracji, administrowania oraz aktualizowania systemu.</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q) Dostępność bezpłatnych narzędzi producenta systemu umożliwiających badanie i wdrażanie zdefiniowanego zestawu polityk bezpieczeństwa.</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r) Pochodzący od producenta systemu serwis zarządzania polityką konsumpcji informacji w dokumentach (Digital Rights Management).</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s) Możliwość implementacji następujących funkcjonalności bez potrzeby instalowania dodatkowych produktów (oprogramowania) innych producentów wymagających dodatkowych licencji:</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Podstawowe usługi sieciowe: DHCP oraz DNS wspierający DNSSEC.</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 xml:space="preserve">Usługi katalogowe oparte o LDAP i pozwalające na uwierzytelnianie użytkowników stacji roboczych, bez konieczności instalowania dodatkowego oprogramowania na tych stacjach, pozwalające na zarządzanie zasobami w sieci (użytkownicy, komputery, drukarki, udziały sieciowe.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Zdalna dystrybucja oprogramowania na stacje robocze.</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Praca zdalna na serwerze z wykorzystaniem terminala (cienkiego klienta) lub odpowiednio skonfigurowanej stacji roboczej.</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PKI (Centrum Certyfikatów (CA), obsługa klucza publicznego i prywatnego) umożliwiające:</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Dystrybucję certyfikatów poprzez http, Konsolidację CA dla wielu lasów domeny,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Automatyczne rejestrowania certyfikatów pomiędzy różnymi lasami domen.</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Szyfrowanie plików i folderów.</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Szyfrowanie połączeń sieciowych pomiędzy serwerami oraz serwerami i stacjami roboczymi (IPSec).</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Możliwość tworzenia systemów wysokiej dostępności (klastry typu fail-over) oraz rozłożenia obciążenia serwerów.</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Serwis udostępniania stron WWW.</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Wsparcie dla protokołu IP w wersji 6 (IPv6).</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 xml:space="preserve">Wbudowane usługi VPN pozwalające na zestawienie nielimitowanej liczby równoczesnych połączeń i niewymagające instalacji dodatkowego oprogramowania na komputerach z systemem Windows,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t) Możliwość automatycznej aktualizacji w oparciu o poprawki publikowane przez producenta wraz z dostępnością bezpłatnego rozwiązania producenta SSO umożliwiającego lokalną dystrybucję poprawek zatwierdzonych przez administratora, bez połączenia z siecią Internet.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u) Wsparcie dostępu do zasobu dyskowego SSO poprzez wiele ścieżek (Multipath).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Możliwość instalacji poprawek poprzez wgranie ich do obrazu instalacyjnego.</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v) Mechanizmy zdalnej administracji oraz mechanizmy (również działające zdalnie) administracji przez skrypty. </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w) Możliwość zarządzania przez wbudowane mechanizmy zgodne ze standardami WBEM oraz WS-Management organizacji DMTF;</w:t>
            </w:r>
          </w:p>
          <w:p>
            <w:pPr>
              <w:pStyle w:val="Normal"/>
              <w:spacing w:lineRule="auto" w:line="240" w:before="0" w:after="0"/>
              <w:contextualSpacing/>
              <w:jc w:val="both"/>
              <w:rPr>
                <w:rFonts w:eastAsia="Times New Roman" w:cs="Calibri" w:cstheme="minorHAnsi"/>
                <w:sz w:val="20"/>
                <w:szCs w:val="20"/>
                <w:u w:val="single"/>
                <w:lang w:eastAsia="pl-PL"/>
              </w:rPr>
            </w:pPr>
            <w:r>
              <w:rPr>
                <w:rFonts w:eastAsia="Times New Roman" w:cs="Calibri" w:cstheme="minorHAnsi"/>
                <w:sz w:val="20"/>
                <w:szCs w:val="20"/>
                <w:u w:val="single"/>
                <w:lang w:eastAsia="pl-PL"/>
              </w:rPr>
            </w:r>
          </w:p>
          <w:p>
            <w:pPr>
              <w:pStyle w:val="Normal"/>
              <w:spacing w:lineRule="auto" w:line="240" w:before="0" w:after="0"/>
              <w:contextualSpacing/>
              <w:jc w:val="both"/>
              <w:rPr>
                <w:rFonts w:eastAsia="Times New Roman" w:cs="Calibri" w:cstheme="minorHAnsi"/>
                <w:sz w:val="20"/>
                <w:szCs w:val="20"/>
                <w:u w:val="single"/>
                <w:lang w:eastAsia="pl-PL"/>
              </w:rPr>
            </w:pPr>
            <w:r>
              <w:rPr>
                <w:rFonts w:eastAsia="Times New Roman" w:cs="Calibri" w:cstheme="minorHAnsi"/>
                <w:sz w:val="20"/>
                <w:szCs w:val="20"/>
                <w:u w:val="single"/>
                <w:lang w:eastAsia="pl-PL"/>
              </w:rPr>
              <w:t>Wymagana najnowsza wersja producenta dostępna na dzień składania oferty.</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contextualSpacing/>
              <w:jc w:val="both"/>
              <w:rPr>
                <w:rFonts w:eastAsia="Times New Roman" w:cs="Calibri" w:cstheme="minorHAnsi"/>
                <w:b/>
                <w:b/>
                <w:sz w:val="20"/>
                <w:szCs w:val="20"/>
                <w:lang w:eastAsia="pl-PL"/>
              </w:rPr>
            </w:pPr>
            <w:r>
              <w:rPr>
                <w:rFonts w:eastAsia="Times New Roman" w:cs="Calibri" w:cstheme="minorHAnsi"/>
                <w:b/>
                <w:sz w:val="20"/>
                <w:szCs w:val="20"/>
                <w:lang w:eastAsia="pl-PL"/>
              </w:rPr>
              <w:t>Dodatkowo należy dostarczyć:</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85 licencji dostępowych na urządzenie jeśli producent oferowanego systemu operacyjnego wymaga dla zapewnienia dostępu do zasobów.</w:t>
            </w:r>
          </w:p>
          <w:p>
            <w:pPr>
              <w:pStyle w:val="Normal"/>
              <w:spacing w:lineRule="auto" w:line="240" w:before="0" w:after="0"/>
              <w:contextualSpacing/>
              <w:jc w:val="both"/>
              <w:rPr>
                <w:rFonts w:eastAsia="Times New Roman" w:cs="Calibri" w:cstheme="minorHAnsi"/>
                <w:sz w:val="20"/>
                <w:szCs w:val="20"/>
                <w:lang w:eastAsia="pl-PL"/>
              </w:rPr>
            </w:pPr>
            <w:r>
              <w:rPr>
                <w:rFonts w:eastAsia="Times New Roman" w:cs="Calibri" w:cstheme="minorHAnsi"/>
                <w:sz w:val="20"/>
                <w:szCs w:val="20"/>
                <w:lang w:eastAsia="pl-PL"/>
              </w:rPr>
              <w:t xml:space="preserve">• </w:t>
            </w:r>
            <w:r>
              <w:rPr>
                <w:rFonts w:eastAsia="Times New Roman" w:cs="Calibri" w:cstheme="minorHAnsi"/>
                <w:sz w:val="20"/>
                <w:szCs w:val="20"/>
                <w:lang w:eastAsia="pl-PL"/>
              </w:rPr>
              <w:t>10 licencji umożliwiających graficzną pracę zdalną na serwerze (tzw. RemoteDesktop) na urządzenie jeśli producent oferowanego systemu operacyjnego wymaga takiej licencji dla zapewnienia takiego dostępu.</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23.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Dokumenty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Certyfikat </w:t>
            </w:r>
            <w:bookmarkStart w:id="6" w:name="_Hlk38435541"/>
            <w:r>
              <w:rPr>
                <w:rFonts w:eastAsia="Times New Roman" w:cs="Calibri" w:cstheme="minorHAnsi"/>
                <w:sz w:val="20"/>
                <w:szCs w:val="20"/>
                <w:lang w:eastAsia="pl-PL"/>
              </w:rPr>
              <w:t xml:space="preserve">ISO 9001 dla producenta sprzętu </w:t>
            </w:r>
            <w:bookmarkEnd w:id="6"/>
            <w:r>
              <w:rPr>
                <w:rFonts w:eastAsia="Times New Roman" w:cs="Calibri" w:cstheme="minorHAnsi"/>
                <w:sz w:val="20"/>
                <w:szCs w:val="20"/>
                <w:lang w:eastAsia="pl-PL"/>
              </w:rPr>
              <w:t>(</w:t>
            </w:r>
            <w:r>
              <w:rPr>
                <w:rFonts w:eastAsia="Times New Roman" w:cs="Calibri" w:cstheme="minorHAnsi"/>
                <w:sz w:val="20"/>
                <w:szCs w:val="20"/>
                <w:u w:val="single"/>
                <w:lang w:eastAsia="pl-PL"/>
              </w:rPr>
              <w:t>załączyć dokument potwierdzający spełnianie wymogu</w:t>
            </w:r>
            <w:r>
              <w:rPr>
                <w:rFonts w:eastAsia="Times New Roman" w:cs="Calibri" w:cstheme="minorHAnsi"/>
                <w:sz w:val="20"/>
                <w:szCs w:val="20"/>
                <w:lang w:eastAsia="pl-PL"/>
              </w:rPr>
              <w:t xml:space="preserve">).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Certyfikat ISO 14001 dla producenta sprzętu (</w:t>
            </w:r>
            <w:r>
              <w:rPr>
                <w:rFonts w:eastAsia="Times New Roman" w:cs="Calibri" w:cstheme="minorHAnsi"/>
                <w:sz w:val="20"/>
                <w:szCs w:val="20"/>
                <w:u w:val="single"/>
                <w:lang w:eastAsia="pl-PL"/>
              </w:rPr>
              <w:t>załączyć dokument potwierdzający spełnianie wymogu</w:t>
            </w:r>
            <w:r>
              <w:rPr>
                <w:rFonts w:eastAsia="Times New Roman" w:cs="Calibri" w:cstheme="minorHAnsi"/>
                <w:sz w:val="20"/>
                <w:szCs w:val="20"/>
                <w:lang w:eastAsia="pl-PL"/>
              </w:rPr>
              <w:t xml:space="preserve">).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Deklaracja zgodności CE (</w:t>
            </w:r>
            <w:r>
              <w:rPr>
                <w:rFonts w:eastAsia="Times New Roman" w:cs="Calibri" w:cstheme="minorHAnsi"/>
                <w:sz w:val="20"/>
                <w:szCs w:val="20"/>
                <w:u w:val="single"/>
                <w:lang w:eastAsia="pl-PL"/>
              </w:rPr>
              <w:t>załączyć do oferty</w:t>
            </w:r>
            <w:r>
              <w:rPr>
                <w:rFonts w:eastAsia="Times New Roman" w:cs="Calibri" w:cstheme="minorHAnsi"/>
                <w:sz w:val="20"/>
                <w:szCs w:val="20"/>
                <w:lang w:eastAsia="pl-PL"/>
              </w:rPr>
              <w:t>).</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24.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36 miesięcy </w:t>
            </w:r>
            <w:r>
              <w:rPr>
                <w:rFonts w:eastAsia="Times New Roman" w:cs="Calibri" w:cstheme="minorHAnsi"/>
                <w:b/>
                <w:bCs/>
                <w:sz w:val="20"/>
                <w:szCs w:val="20"/>
                <w:lang w:eastAsia="pl-PL"/>
              </w:rPr>
              <w:t>(lub dłużej zgodnie ze złożoną ofertą)</w:t>
            </w:r>
            <w:r>
              <w:rPr>
                <w:rFonts w:eastAsia="Times New Roman" w:cs="Calibri" w:cstheme="minorHAnsi"/>
                <w:sz w:val="20"/>
                <w:szCs w:val="20"/>
                <w:lang w:eastAsia="pl-PL"/>
              </w:rPr>
              <w:t xml:space="preserve"> gwarancji producenta w trybie 24/7/365 z 4 godzinnym czasem reakcji na miejscu u klienta. W razie awarii dyski pozostają u Zamawiającego.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Gwarancja i serwis na serwery musi być świadczona przez firmę autoryzowaną przez producenta lub jego przedstawicielstwo w Polsce w przypadku gdy Oferent nie posiada takiej autoryzacji. </w:t>
            </w:r>
          </w:p>
          <w:p>
            <w:pPr>
              <w:pStyle w:val="Normal"/>
              <w:spacing w:lineRule="auto" w:line="240" w:before="0" w:after="0"/>
              <w:contextualSpacing/>
              <w:rPr>
                <w:rFonts w:eastAsia="Times New Roman" w:cs="Calibri" w:cstheme="minorHAnsi"/>
                <w:sz w:val="20"/>
                <w:szCs w:val="20"/>
                <w:lang w:eastAsia="pl-PL"/>
              </w:rPr>
            </w:pPr>
            <w:bookmarkStart w:id="7" w:name="_Hlk47002796"/>
            <w:r>
              <w:rPr>
                <w:rFonts w:eastAsia="Times New Roman" w:cs="Calibri" w:cstheme="minorHAnsi"/>
                <w:sz w:val="20"/>
                <w:szCs w:val="20"/>
                <w:u w:val="single"/>
                <w:lang w:eastAsia="pl-PL"/>
              </w:rPr>
              <w:t>Wymagane oświadczenia Producenta lub Wykonawcy potwierdzające, że serwis urządzeń będzie realizowany bezpośrednio przez Producenta i/lub we współpracy z Autoryzowanym Partnerem Serwisowym Producenta w przypadku gdy Wykonawca (Oferent) nie posiada takiej autoryzacji</w:t>
            </w:r>
            <w:bookmarkEnd w:id="7"/>
            <w:r>
              <w:rPr>
                <w:rFonts w:eastAsia="Times New Roman" w:cs="Calibri" w:cstheme="minorHAnsi"/>
                <w:sz w:val="20"/>
                <w:szCs w:val="20"/>
                <w:lang w:eastAsia="pl-PL"/>
              </w:rPr>
              <w:t>.</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25.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t>Dodatkowe wymagania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Urządzenia muszą być fabrycznie nowe, pochodzić z autoryzowanego kanału sprzedaży producenta na terenie Polski i reprezentować model bieżącej linii produkcyjnej. Nie dopuszcza się urządzeń: odnawianych, demonstracyjnych lub powystawowych.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Sprzęt musi być fabrycznie zmontowany w fabryce producenta.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Urządzenie na etapie dostawy producent a Zamawiający nie może podlegać modyfikacjom w zakresie konfiguracji sprzętowej. Nie później niż na 3 dni przed dostawą sprzętu Wykonawca przekaże Zamawiającemu numery seryjne, w celu zweryfikowania u Producenta spełnienia ww. wymagań.  Powyższe, jest jednym z warunków podpisania protokołu odbioru przez Zamawiającego.</w:t>
            </w:r>
          </w:p>
        </w:tc>
      </w:tr>
    </w:tbl>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8" w:name="_Toc38875171"/>
      <w:r>
        <w:rPr>
          <w:rFonts w:eastAsia="Times New Roman"/>
          <w:b/>
          <w:bCs/>
          <w:sz w:val="28"/>
          <w:szCs w:val="28"/>
        </w:rPr>
        <w:t>Zasilacz awaryjny UPS – 2 szt.</w:t>
      </w:r>
      <w:bookmarkEnd w:id="8"/>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71"/>
        <w:gridCol w:w="2259"/>
        <w:gridCol w:w="6946"/>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28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Moc pozorna</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2200 VA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2.</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Moc rzeczywista</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2200 Wat</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3.</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Typowy czas przełączenia na baterię dokumentów</w:t>
            </w:r>
          </w:p>
        </w:tc>
        <w:tc>
          <w:tcPr>
            <w:tcW w:w="694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color w:val="000000"/>
                <w:sz w:val="20"/>
                <w:szCs w:val="20"/>
                <w:lang w:eastAsia="pl-PL"/>
              </w:rPr>
              <w:t>do 4ms</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Liczba i rodzaj gniazdek z utrzymaniem zasilania</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IEC C13 x 6</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IEC C19 x 2</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Typ gniazda wejściowego</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IEC C20</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Czas podtrzymania dla obciążenia 100%</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3 min</w:t>
            </w:r>
          </w:p>
        </w:tc>
      </w:tr>
      <w:tr>
        <w:trPr>
          <w:trHeight w:val="49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Czas podtrzymania przy obciążeniu 50%</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val="en-US" w:eastAsia="zh-CN" w:bidi="hi-IN"/>
              </w:rPr>
            </w:pPr>
            <w:r>
              <w:rPr>
                <w:rFonts w:eastAsia="Times New Roman" w:cs="Calibri" w:cstheme="minorHAnsi"/>
                <w:sz w:val="20"/>
                <w:szCs w:val="20"/>
                <w:lang w:eastAsia="pl-PL"/>
              </w:rPr>
              <w:t>Min. 11 min</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Zakres napięcia wejściowego w trybie podstawowym</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159-288 Vac</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Układ automatycznej regulacji napięcia (AVR)</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Sinus podczas pracy na baterii</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Porty komunikacji</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val="en-US" w:eastAsia="pl-PL"/>
              </w:rPr>
            </w:pPr>
            <w:r>
              <w:rPr>
                <w:rFonts w:eastAsia="Times New Roman" w:cs="Calibri" w:cstheme="minorHAnsi"/>
                <w:sz w:val="20"/>
                <w:szCs w:val="20"/>
                <w:lang w:val="en-US" w:eastAsia="pl-PL"/>
              </w:rPr>
              <w:t>- USB</w:t>
            </w:r>
          </w:p>
          <w:p>
            <w:pPr>
              <w:pStyle w:val="Normal"/>
              <w:spacing w:lineRule="auto" w:line="240" w:before="0" w:after="0"/>
              <w:rPr>
                <w:rFonts w:eastAsia="Times New Roman" w:cs="Calibri" w:cstheme="minorHAnsi"/>
                <w:sz w:val="20"/>
                <w:szCs w:val="20"/>
                <w:lang w:val="en-US" w:eastAsia="pl-PL"/>
              </w:rPr>
            </w:pPr>
            <w:r>
              <w:rPr>
                <w:rFonts w:eastAsia="Times New Roman" w:cs="Calibri" w:cstheme="minorHAnsi"/>
                <w:sz w:val="20"/>
                <w:szCs w:val="20"/>
                <w:lang w:val="en-US" w:eastAsia="pl-PL"/>
              </w:rPr>
              <w:t>- RS232</w:t>
            </w:r>
          </w:p>
          <w:p>
            <w:pPr>
              <w:pStyle w:val="Normal"/>
              <w:spacing w:lineRule="auto" w:line="240" w:before="0" w:after="0"/>
              <w:rPr>
                <w:rFonts w:eastAsia="Times New Roman" w:cs="Calibri" w:cstheme="minorHAnsi"/>
                <w:sz w:val="20"/>
                <w:szCs w:val="20"/>
                <w:lang w:val="en-US" w:eastAsia="pl-PL"/>
              </w:rPr>
            </w:pPr>
            <w:r>
              <w:rPr>
                <w:rFonts w:eastAsia="Times New Roman" w:cs="Calibri" w:cstheme="minorHAnsi"/>
                <w:sz w:val="20"/>
                <w:szCs w:val="20"/>
                <w:lang w:val="en-US" w:eastAsia="pl-PL"/>
              </w:rPr>
              <w:t>- Dry contact</w:t>
            </w:r>
          </w:p>
          <w:p>
            <w:pPr>
              <w:pStyle w:val="Normal"/>
              <w:spacing w:lineRule="auto" w:line="240" w:before="0" w:after="0"/>
              <w:contextualSpacing/>
              <w:rPr>
                <w:rFonts w:eastAsia="Times New Roman" w:cs="Calibri" w:cstheme="minorHAnsi"/>
                <w:sz w:val="20"/>
                <w:szCs w:val="20"/>
                <w:lang w:val="en-US" w:eastAsia="pl-PL"/>
              </w:rPr>
            </w:pPr>
            <w:r>
              <w:rPr>
                <w:rFonts w:eastAsia="Times New Roman" w:cs="Calibri" w:cstheme="minorHAnsi"/>
                <w:sz w:val="20"/>
                <w:szCs w:val="20"/>
                <w:lang w:val="en-US" w:eastAsia="pl-PL"/>
              </w:rPr>
              <w:t>- EPO</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Wyświetlacz</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 LCD</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Alarmy dźwiękowe</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xml:space="preserve">- Tryb baterii </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xml:space="preserve">- Niski poziom baterii </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xml:space="preserve">- Przeciążenie </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xml:space="preserve">- Przeładowanie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Przegrzanie</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14.</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Obudowa</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rackowa, maksymalnie 2U</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15.</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Dodatkowe informacje</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czas ładowania: 3h do 90%</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automatyczny restart po powrocie zasilania</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ochrona przed przeciążeniem</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rozproszenie ciepła online ( BTU/h ) – max 130BTU/h</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komunikacja po protokole SNMP/HTTP. Karta sieciowa w zestawie</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możliwość podłączenia dodatkowych modułów bateryjnych</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technologia Energy Saving</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kompatybilność z aktywnym PFC</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kompatybilność z generatorem</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16.</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Certyfikaty</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Energy Star</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xml:space="preserve">- Deklaracja zgodności CE </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17.</w:t>
            </w:r>
          </w:p>
        </w:tc>
        <w:tc>
          <w:tcPr>
            <w:tcW w:w="22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69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Minimum 24 miesiące gwarancji producenta na urządzenie; 6 miesięcy gwarancji na akumulatory</w:t>
            </w:r>
          </w:p>
        </w:tc>
      </w:tr>
    </w:tbl>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9" w:name="_Toc38875172"/>
      <w:r>
        <w:rPr>
          <w:rFonts w:eastAsia="Times New Roman"/>
          <w:b/>
          <w:bCs/>
          <w:sz w:val="28"/>
          <w:szCs w:val="28"/>
        </w:rPr>
        <w:t>Dysk sieciowy – 1 szt.</w:t>
      </w:r>
      <w:bookmarkEnd w:id="9"/>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71"/>
        <w:gridCol w:w="1832"/>
        <w:gridCol w:w="7373"/>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238"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bCs/>
                <w:sz w:val="20"/>
                <w:szCs w:val="20"/>
                <w:lang w:eastAsia="pl-PL"/>
              </w:rPr>
              <w:t>Typ urządzenia</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Dysk sieciowy w obudowie tower</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2.</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Procesor</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Energooszczędny min. 4 rdzeniowy</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3.</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Pamięć RAM</w:t>
            </w:r>
          </w:p>
        </w:tc>
        <w:tc>
          <w:tcPr>
            <w:tcW w:w="73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Min. 2GB z możliwością rozbudowy do min. 8GB</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Ilość obsługiwanych dysków</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4 x 2.5" lub 3.5" SATA 6Gb/s HDD lub SSD; hot swappable trays</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Dyski twarde</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4 dyski o parametrach: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pojemność: min. 2 TB,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interfejs: SATA 6 Gb/s,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obroty na minutę: min. 5400</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pamięć podręczna: min. 64 MB</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format: 3,5”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przeznaczenie: do NAS-ów</w:t>
            </w:r>
          </w:p>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 MTBF (godziny): 1 000 000</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Interfejsy komunikacyjne</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val="en-US" w:eastAsia="pl-PL"/>
              </w:rPr>
            </w:pPr>
            <w:r>
              <w:rPr>
                <w:rFonts w:eastAsia="Times New Roman" w:cs="Calibri" w:cstheme="minorHAnsi"/>
                <w:sz w:val="20"/>
                <w:szCs w:val="20"/>
                <w:lang w:val="en-US" w:eastAsia="pl-PL"/>
              </w:rPr>
              <w:t>- 2 x RJ45 Gigabit Ethernet</w:t>
            </w:r>
          </w:p>
          <w:p>
            <w:pPr>
              <w:pStyle w:val="Normal"/>
              <w:spacing w:lineRule="auto" w:line="240" w:before="0" w:after="0"/>
              <w:contextualSpacing/>
              <w:rPr>
                <w:rFonts w:eastAsia="Times New Roman" w:cs="Calibri" w:cstheme="minorHAnsi"/>
                <w:sz w:val="20"/>
                <w:szCs w:val="20"/>
                <w:lang w:val="en-US" w:eastAsia="pl-PL"/>
              </w:rPr>
            </w:pPr>
            <w:r>
              <w:rPr>
                <w:rFonts w:eastAsia="Times New Roman" w:cs="Calibri" w:cstheme="minorHAnsi"/>
                <w:sz w:val="20"/>
                <w:szCs w:val="20"/>
                <w:lang w:val="en-US" w:eastAsia="pl-PL"/>
              </w:rPr>
              <w:t>- 2 x USB 3.0</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- 2 x USB 2.0</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- 1x HDMI</w:t>
            </w:r>
          </w:p>
        </w:tc>
      </w:tr>
      <w:tr>
        <w:trPr>
          <w:trHeight w:val="31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Wskaźniki LED</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val="en-US" w:eastAsia="zh-CN" w:bidi="hi-IN"/>
              </w:rPr>
            </w:pPr>
            <w:r>
              <w:rPr>
                <w:rFonts w:eastAsia="SimSun" w:cs="Calibri" w:cstheme="minorHAnsi"/>
                <w:sz w:val="20"/>
                <w:szCs w:val="20"/>
                <w:lang w:val="en-US" w:eastAsia="zh-CN" w:bidi="hi-IN"/>
              </w:rPr>
              <w:t>Power/Status, LAN, USB, HDD1-4</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Funkcjonalność</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system plików: EXT4 dla dysków wewnętrznych, (EXT3, EXT4, NTFS, FAT32, HFS+, exFAT dla dysków zewnętrznych</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poziomy RAID: 0,1, 5, 6, 10, 5+spare</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obsługiwane protokoły i standardy: CIFS/SMB, AFP v3.3, NFS v3, FTP, FTPS, SFTP, TFTP, HTTP(S), Telnet, SSH, iSCSI, SNMP, SMTP, SMSC, UPnP, DHCP server and client</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Oprogramowanie</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Dedykowane przez producenta sprzętu w języku polskim w pełni współpracujące z urządzeniem. Nie ograniczone czasowo.</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Zabezpieczenie</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Obudowa musi umożliwiać zastosowanie zabezpieczenia fizycznego w postaci linki metalowej (złącze blokady) lub kłódki (oczko w obudowie do założenia kłódki)</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Rozszerzenie</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Możliwość podłączenia modułu zwiększającego ilość dysków twardych</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Minimum 36 miesięcy gwarancji.</w:t>
            </w:r>
          </w:p>
        </w:tc>
      </w:tr>
    </w:tbl>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10" w:name="_Toc38875173"/>
      <w:r>
        <w:rPr>
          <w:rFonts w:eastAsia="Times New Roman"/>
          <w:b/>
          <w:bCs/>
          <w:sz w:val="28"/>
          <w:szCs w:val="28"/>
        </w:rPr>
        <w:t>Komputer stacjonarny – szt. 57</w:t>
      </w:r>
      <w:bookmarkEnd w:id="10"/>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71"/>
        <w:gridCol w:w="1691"/>
        <w:gridCol w:w="7514"/>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523"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Typ</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Cs/>
                <w:sz w:val="20"/>
                <w:szCs w:val="20"/>
                <w:lang w:eastAsia="pl-PL"/>
              </w:rPr>
              <w:t>Komputer stacjonarny. W ofercie wymagane jest podanie modelu, symbolu oraz producenta</w:t>
            </w:r>
            <w:r>
              <w:rPr>
                <w:rFonts w:eastAsia="Times New Roman" w:cs="Calibri" w:cstheme="minorHAnsi"/>
                <w:sz w:val="20"/>
                <w:szCs w:val="20"/>
                <w:lang w:eastAsia="pl-PL"/>
              </w:rPr>
              <w:t xml:space="preserve"> </w:t>
            </w:r>
          </w:p>
        </w:tc>
      </w:tr>
      <w:tr>
        <w:trPr>
          <w:trHeight w:val="714"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Zastosowanie</w:t>
            </w:r>
          </w:p>
        </w:tc>
        <w:tc>
          <w:tcPr>
            <w:tcW w:w="751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contextualSpacing/>
              <w:jc w:val="both"/>
              <w:rPr>
                <w:rFonts w:eastAsia="Times New Roman" w:cs="Calibri" w:cstheme="minorHAnsi"/>
                <w:sz w:val="20"/>
                <w:szCs w:val="20"/>
                <w:lang w:eastAsia="pl-PL"/>
              </w:rPr>
            </w:pPr>
            <w:r>
              <w:rPr>
                <w:rFonts w:eastAsia="Times New Roman" w:cs="Calibri" w:cstheme="minorHAnsi"/>
                <w:bCs/>
                <w:sz w:val="20"/>
                <w:szCs w:val="20"/>
                <w:lang w:eastAsia="pl-PL"/>
              </w:rPr>
              <w:t>Komputer będzie wykorzystywany dla potrzeb aplikacji biurowych, aplikacji edukacyjnych, aplikacji obliczeniowych, dostępu do Internetu oraz poczty elektronicznej, jako lokalna baza danych, stacja programistyczna</w:t>
            </w:r>
          </w:p>
        </w:tc>
      </w:tr>
      <w:tr>
        <w:trPr>
          <w:trHeight w:val="95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Wydajność obliczeniowa</w:t>
            </w:r>
          </w:p>
        </w:tc>
        <w:tc>
          <w:tcPr>
            <w:tcW w:w="751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contextualSpacing/>
              <w:jc w:val="both"/>
              <w:rPr>
                <w:rFonts w:eastAsia="Times New Roman" w:cs="Calibri" w:cstheme="minorHAnsi"/>
                <w:b/>
                <w:b/>
                <w:bCs/>
                <w:color w:val="000000" w:themeColor="text1"/>
                <w:sz w:val="20"/>
                <w:szCs w:val="20"/>
                <w:u w:val="single"/>
                <w:lang w:eastAsia="pl-PL"/>
              </w:rPr>
            </w:pPr>
            <w:r>
              <w:rPr>
                <w:rFonts w:eastAsia="Times New Roman" w:cs="Calibri" w:cstheme="minorHAnsi"/>
                <w:bCs/>
                <w:sz w:val="20"/>
                <w:szCs w:val="20"/>
              </w:rPr>
              <w:t xml:space="preserve">Procesor wielordzeniowy ze zintegrowaną grafiką, osiągający w teście PassMark CPU Mark wynik min. 9715 punktów, wynik dostępny na stronie: </w:t>
            </w:r>
            <w:hyperlink r:id="rId2">
              <w:bookmarkStart w:id="11" w:name="_Hlk38435635"/>
              <w:r>
                <w:rPr>
                  <w:rFonts w:eastAsia="Times New Roman" w:cs="Calibri" w:cstheme="minorHAnsi"/>
                  <w:color w:val="0000FF"/>
                  <w:sz w:val="20"/>
                  <w:szCs w:val="20"/>
                  <w:u w:val="single"/>
                </w:rPr>
                <w:t>https://www.cpubenchmark.net/cpu_list.php</w:t>
              </w:r>
            </w:hyperlink>
            <w:bookmarkEnd w:id="11"/>
          </w:p>
          <w:p>
            <w:pPr>
              <w:pStyle w:val="Normal"/>
              <w:snapToGrid w:val="false"/>
              <w:spacing w:lineRule="auto" w:line="240" w:before="0" w:after="0"/>
              <w:contextualSpacing/>
              <w:jc w:val="both"/>
              <w:rPr>
                <w:rFonts w:eastAsia="Times New Roman" w:cs="Calibri" w:cstheme="minorHAnsi"/>
                <w:b/>
                <w:b/>
                <w:bCs/>
                <w:color w:val="000000" w:themeColor="text1"/>
                <w:sz w:val="20"/>
                <w:szCs w:val="20"/>
                <w:u w:val="single"/>
                <w:lang w:eastAsia="pl-PL"/>
              </w:rPr>
            </w:pPr>
            <w:r>
              <w:rPr>
                <w:rFonts w:eastAsia="Times New Roman" w:cs="Calibri" w:cstheme="minorHAnsi"/>
                <w:b/>
                <w:bCs/>
                <w:color w:val="000000" w:themeColor="text1"/>
                <w:sz w:val="20"/>
                <w:szCs w:val="20"/>
                <w:u w:val="single"/>
                <w:lang w:eastAsia="pl-PL"/>
              </w:rPr>
            </w:r>
          </w:p>
          <w:p>
            <w:pPr>
              <w:pStyle w:val="Normal"/>
              <w:snapToGrid w:val="false"/>
              <w:spacing w:lineRule="auto" w:line="240" w:before="0" w:after="0"/>
              <w:contextualSpacing/>
              <w:jc w:val="both"/>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Pamięć operacyjna RAM</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bCs/>
                <w:sz w:val="20"/>
                <w:szCs w:val="20"/>
                <w:lang w:eastAsia="pl-PL"/>
              </w:rPr>
              <w:t>Min. 8GB DDR4 2666MHz non-ECC możliwość rozbudowy do min 64GB, trzy sloty wolne.</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bCs/>
                <w:sz w:val="20"/>
                <w:szCs w:val="20"/>
                <w:lang w:eastAsia="pl-PL"/>
              </w:rPr>
            </w:pPr>
            <w:r>
              <w:rPr>
                <w:rFonts w:eastAsia="Times New Roman" w:cs="Calibri" w:cstheme="minorHAnsi"/>
                <w:b/>
                <w:bCs/>
                <w:sz w:val="20"/>
                <w:szCs w:val="20"/>
                <w:lang w:eastAsia="pl-PL"/>
              </w:rPr>
              <w:t>Parametry pamięci masowej</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Cs/>
                <w:sz w:val="20"/>
                <w:szCs w:val="20"/>
                <w:lang w:val="sv-SE" w:eastAsia="pl-PL"/>
              </w:rPr>
            </w:pPr>
            <w:r>
              <w:rPr>
                <w:rFonts w:eastAsia="Times New Roman" w:cs="Calibri" w:cstheme="minorHAnsi"/>
                <w:bCs/>
                <w:sz w:val="20"/>
                <w:szCs w:val="20"/>
                <w:lang w:val="sv-SE" w:eastAsia="pl-PL"/>
              </w:rPr>
              <w:t>Min. 1000 GB HDD 7200RPM lub równoważny</w:t>
            </w:r>
          </w:p>
          <w:p>
            <w:pPr>
              <w:pStyle w:val="Normal"/>
              <w:spacing w:lineRule="auto" w:line="240" w:before="0" w:after="0"/>
              <w:contextualSpacing/>
              <w:rPr>
                <w:rFonts w:eastAsia="Times New Roman" w:cs="Calibri" w:cstheme="minorHAnsi"/>
                <w:bCs/>
                <w:sz w:val="20"/>
                <w:szCs w:val="20"/>
                <w:lang w:val="sv-SE" w:eastAsia="pl-PL"/>
              </w:rPr>
            </w:pPr>
            <w:r>
              <w:rPr>
                <w:rFonts w:eastAsia="Times New Roman" w:cs="Calibri" w:cstheme="minorHAnsi"/>
                <w:bCs/>
                <w:sz w:val="20"/>
                <w:szCs w:val="20"/>
                <w:lang w:val="sv-SE" w:eastAsia="pl-PL"/>
              </w:rPr>
              <w:t>Zainstalowany drugi dysk twardy typu SSD na złączu M.2 w technologii NVMe min. 128 GB.</w:t>
            </w:r>
          </w:p>
          <w:p>
            <w:pPr>
              <w:pStyle w:val="Normal"/>
              <w:spacing w:lineRule="auto" w:line="240" w:before="0" w:after="0"/>
              <w:contextualSpacing/>
              <w:rPr>
                <w:rFonts w:eastAsia="Times New Roman" w:cs="Calibri" w:cstheme="minorHAnsi"/>
                <w:bCs/>
                <w:sz w:val="20"/>
                <w:szCs w:val="20"/>
                <w:lang w:val="sv-SE" w:eastAsia="pl-PL"/>
              </w:rPr>
            </w:pPr>
            <w:r>
              <w:rPr>
                <w:rFonts w:eastAsia="Times New Roman" w:cs="Calibri" w:cstheme="minorHAnsi"/>
                <w:bCs/>
                <w:sz w:val="20"/>
                <w:szCs w:val="20"/>
                <w:lang w:val="sv-SE" w:eastAsia="pl-PL"/>
              </w:rPr>
              <w:t>Komputer musi umożliwiać instalację min 3 dysków twardych, dopuszcza się kombinację 1x SSD i 2 x dysk magnetyczny 3,5” i/lub 2,5”.</w:t>
            </w:r>
          </w:p>
          <w:p>
            <w:pPr>
              <w:pStyle w:val="Normal"/>
              <w:spacing w:lineRule="auto" w:line="240" w:before="0" w:after="0"/>
              <w:contextualSpacing/>
              <w:rPr>
                <w:rFonts w:eastAsia="Times New Roman" w:cs="Calibri" w:cstheme="minorHAnsi"/>
                <w:bCs/>
                <w:sz w:val="20"/>
                <w:szCs w:val="20"/>
                <w:lang w:eastAsia="pl-PL"/>
              </w:rPr>
            </w:pPr>
            <w:r>
              <w:rPr>
                <w:rFonts w:eastAsia="Times New Roman" w:cs="Calibri" w:cstheme="minorHAnsi"/>
                <w:bCs/>
                <w:sz w:val="20"/>
                <w:szCs w:val="20"/>
                <w:lang w:val="sv-SE" w:eastAsia="pl-PL"/>
              </w:rPr>
              <w:t>Oba dyski muszą być w konfiguracji fabrycznej.</w:t>
            </w:r>
          </w:p>
        </w:tc>
      </w:tr>
      <w:tr>
        <w:trPr>
          <w:trHeight w:val="41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Wydajność grafiki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color w:val="0000FF"/>
                <w:sz w:val="20"/>
                <w:szCs w:val="20"/>
                <w:u w:val="single"/>
                <w:lang w:eastAsia="pl-PL"/>
              </w:rPr>
            </w:pPr>
            <w:r>
              <w:rPr>
                <w:rFonts w:eastAsia="Times New Roman" w:cs="Calibri" w:cstheme="minorHAnsi"/>
                <w:bCs/>
                <w:sz w:val="20"/>
                <w:szCs w:val="20"/>
                <w:lang w:eastAsia="pl-PL"/>
              </w:rPr>
              <w:t xml:space="preserve">Oferowana karta graficzna musi osiągać </w:t>
            </w:r>
            <w:bookmarkStart w:id="12" w:name="_Hlk38435782"/>
            <w:r>
              <w:rPr>
                <w:rFonts w:eastAsia="Times New Roman" w:cs="Calibri" w:cstheme="minorHAnsi"/>
                <w:bCs/>
                <w:sz w:val="20"/>
                <w:szCs w:val="20"/>
                <w:lang w:eastAsia="pl-PL"/>
              </w:rPr>
              <w:t>w teście PassMark Performance Test co najmniej wynik 1530 punktów w G3D Rating</w:t>
            </w:r>
            <w:bookmarkEnd w:id="12"/>
            <w:r>
              <w:rPr>
                <w:rFonts w:eastAsia="Times New Roman" w:cs="Calibri" w:cstheme="minorHAnsi"/>
                <w:bCs/>
                <w:sz w:val="20"/>
                <w:szCs w:val="20"/>
                <w:lang w:eastAsia="pl-PL"/>
              </w:rPr>
              <w:t xml:space="preserve">, wynik dostępny na stronie: </w:t>
            </w:r>
            <w:hyperlink r:id="rId3">
              <w:bookmarkStart w:id="13" w:name="_Hlk38435725"/>
              <w:r>
                <w:rPr>
                  <w:rFonts w:eastAsia="Times New Roman" w:cs="Calibri" w:cstheme="minorHAnsi"/>
                  <w:color w:val="0000FF"/>
                  <w:sz w:val="20"/>
                  <w:szCs w:val="20"/>
                  <w:u w:val="single"/>
                  <w:lang w:eastAsia="pl-PL"/>
                </w:rPr>
                <w:t>http://www.videocardbenchmark.net/gpu_list.php</w:t>
              </w:r>
            </w:hyperlink>
            <w:bookmarkEnd w:id="13"/>
          </w:p>
          <w:p>
            <w:pPr>
              <w:pStyle w:val="Normal"/>
              <w:spacing w:lineRule="auto" w:line="240" w:before="0" w:after="0"/>
              <w:contextualSpacing/>
              <w:rPr>
                <w:rFonts w:eastAsia="Times New Roman" w:cs="Calibri" w:cstheme="minorHAnsi"/>
                <w:bCs/>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41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bCs/>
                <w:sz w:val="20"/>
                <w:szCs w:val="20"/>
                <w:lang w:eastAsia="pl-PL"/>
              </w:rPr>
            </w:pPr>
            <w:r>
              <w:rPr>
                <w:rFonts w:eastAsia="Times New Roman" w:cs="Calibri" w:cstheme="minorHAnsi"/>
                <w:b/>
                <w:bCs/>
                <w:sz w:val="20"/>
                <w:szCs w:val="20"/>
                <w:lang w:eastAsia="pl-PL"/>
              </w:rPr>
              <w:t>Wirtualizacja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Cs/>
                <w:sz w:val="20"/>
                <w:szCs w:val="20"/>
                <w:lang w:eastAsia="pl-PL"/>
              </w:rPr>
            </w:pPr>
            <w:r>
              <w:rPr>
                <w:rFonts w:eastAsia="Times New Roman" w:cs="Calibri" w:cstheme="minorHAnsi"/>
                <w:bCs/>
                <w:sz w:val="20"/>
                <w:szCs w:val="20"/>
                <w:lang w:eastAsia="pl-PL"/>
              </w:rPr>
              <w:t>Sprzętowe wsparcie technologii wirtualizacji realizowane łącznie w procesorze, chipsecie płyty głównej oraz w BIOS systemu.</w:t>
            </w:r>
          </w:p>
        </w:tc>
      </w:tr>
      <w:tr>
        <w:trPr>
          <w:trHeight w:val="47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
                <w:b/>
                <w:bCs/>
                <w:sz w:val="20"/>
                <w:szCs w:val="20"/>
                <w:lang w:eastAsia="pl-PL"/>
              </w:rPr>
            </w:pPr>
            <w:r>
              <w:rPr>
                <w:rFonts w:eastAsia="Times New Roman" w:cs="Calibri" w:cstheme="minorHAnsi"/>
                <w:b/>
                <w:bCs/>
                <w:sz w:val="20"/>
                <w:szCs w:val="20"/>
                <w:lang w:eastAsia="pl-PL"/>
              </w:rPr>
              <w:t>Wyposażenie multimedialne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Cs/>
                <w:sz w:val="20"/>
                <w:szCs w:val="20"/>
                <w:lang w:eastAsia="pl-PL"/>
              </w:rPr>
              <w:t>Min 24-bitowa Karta dźwiękowa zintegrowana z płytą główną, zgodna z High Definition, wewnętrzny głośnik 2W w obudowie komputera. Port słuchawek i mikrofonu na przednim panelu, dopuszcza się rozwiązanie port combo, na tylnym panelu min. audio out.</w:t>
            </w:r>
          </w:p>
        </w:tc>
      </w:tr>
      <w:tr>
        <w:trPr>
          <w:trHeight w:val="428"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color w:val="000000"/>
                <w:sz w:val="20"/>
                <w:szCs w:val="20"/>
                <w:lang w:eastAsia="pl-PL"/>
              </w:rPr>
              <w:t>Obudowa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Typu small form factor z obsługą kart PCI Express tylko o niskim profilu.</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Napęd optyczny w dedykowanej wnęce zewnętrznej slim.</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Obudowa fabrycznie przystosowana do pracy w orientacji pionowej i poziomej, wyposażona w dystanse gumowe zapobiegające poślizgom obudowy i zarysowaniu lakieru. Suma wymiarów obudowy nie może przekraczać 70cm, waga 8.5 kg.</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Nie dopuszcza się, aby w bocznych ściankach obudowy były usytuowane otwory wentylacyjne, cyrkulacja powietrza tylko przez przedni i tylny panel z zachowaniem ruchu powietrza przód – tył.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Zasilacz o mocy max. 200W pracujący w sieci 230V 50/60Hz prądu zmiennego i efektywności min. 85% przy obciążeniu zasilacza na poziomie 50% oraz o efektywności min. 80% przy obciążeniu zasilacza na poziomie 100%,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Obudowa musi umożliwiać zastosowanie zabezpieczenia fizycznego w postaci linki metalowej (złącze blokady Kensingtona) oraz kłódki (oczko w obudowie do założenia kłódki) oraz powinna posiadać czujnik otwarcia obudowy.</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Obudowa musi posiadać wbudowany wizualny system diagnostyczny, służący do sygnalizowania i diagnozowania problemów z komputerem i jego komponentami, sygnalizacja oparta na zmianie statusów diody LED przycisku POWER (tzn. barw i miganie)</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W szczególności musi sygnalizować: uszkodzenie lub brak pamięci RAM, uszkodzenie płyty głównej, uszkodzenie kontrolera video, awarię CMOS baterii, awarię BIOS’u, awarię procesora.</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Oferowany system diagnostyczny nie może wykorzystywać minimalnej ilości wolnych slotów wymaganych w specyfikacji,</w:t>
            </w:r>
          </w:p>
          <w:p>
            <w:pPr>
              <w:pStyle w:val="Normal"/>
              <w:spacing w:lineRule="auto" w:line="240" w:before="0" w:after="0"/>
              <w:rPr>
                <w:rFonts w:eastAsia="Times New Roman" w:cs="Calibri" w:cstheme="minorHAnsi"/>
                <w:bCs/>
                <w:sz w:val="20"/>
                <w:szCs w:val="20"/>
                <w:lang w:eastAsia="pl-PL"/>
              </w:rPr>
            </w:pPr>
            <w:r>
              <w:rPr>
                <w:rFonts w:eastAsia="Times New Roman" w:cs="Calibri" w:cstheme="minorHAnsi"/>
                <w:bCs/>
                <w:sz w:val="20"/>
                <w:szCs w:val="20"/>
                <w:lang w:eastAsia="pl-PL"/>
              </w:rPr>
              <w:t>Każdy komputer powinien być oznaczony niepowtarzalnym numerem seryjnym umieszczonym na obudowie, oraz wpisanym na stałe w BIOS.</w:t>
            </w:r>
          </w:p>
        </w:tc>
      </w:tr>
      <w:tr>
        <w:trPr>
          <w:trHeight w:val="435"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Zgodność z systemami operacyjnymi i standardami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Cs/>
                <w:sz w:val="20"/>
                <w:szCs w:val="20"/>
                <w:u w:val="single"/>
                <w:lang w:eastAsia="pl-PL"/>
              </w:rPr>
            </w:pPr>
            <w:r>
              <w:rPr>
                <w:rFonts w:eastAsia="Times New Roman" w:cs="Calibri" w:cstheme="minorHAnsi"/>
                <w:bCs/>
                <w:sz w:val="20"/>
                <w:szCs w:val="20"/>
                <w:lang w:eastAsia="pl-PL"/>
              </w:rPr>
              <w:t xml:space="preserve">Oferowane modele komputerów muszą posiadać </w:t>
            </w:r>
            <w:bookmarkStart w:id="14" w:name="_Hlk38435847"/>
            <w:r>
              <w:rPr>
                <w:rFonts w:eastAsia="Times New Roman" w:cs="Calibri" w:cstheme="minorHAnsi"/>
                <w:bCs/>
                <w:sz w:val="20"/>
                <w:szCs w:val="20"/>
                <w:lang w:eastAsia="pl-PL"/>
              </w:rPr>
              <w:t>certyfikat producenta oferowanego systemu operacyjnego</w:t>
            </w:r>
            <w:bookmarkEnd w:id="14"/>
            <w:r>
              <w:rPr>
                <w:rFonts w:eastAsia="Times New Roman" w:cs="Calibri" w:cstheme="minorHAnsi"/>
                <w:bCs/>
                <w:sz w:val="20"/>
                <w:szCs w:val="20"/>
                <w:lang w:eastAsia="pl-PL"/>
              </w:rPr>
              <w:t xml:space="preserve">, potwierdzający poprawną współpracę oferowanych modeli komputerów z oferowanym systemem operacyjnym </w:t>
            </w:r>
            <w:r>
              <w:rPr>
                <w:rFonts w:eastAsia="Times New Roman" w:cs="Calibri" w:cstheme="minorHAnsi"/>
                <w:bCs/>
                <w:sz w:val="20"/>
                <w:szCs w:val="20"/>
                <w:u w:val="single"/>
                <w:lang w:eastAsia="pl-PL"/>
              </w:rPr>
              <w:t>(załączyć wydruk ze strony producenta oprogramowania)</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735"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Bezpieczeństwo</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Zaimplementowany w BIOS system diagnostyczny z graficznym interfejsem użytkownika dostępny z poziomu szybkiego menu boot umożliwiający jednoczesne przetestowanie w celu wykrycia usterki zainstalowanych komponentów w oferowanym komputerze bez konieczności uruchamiania systemu operacyjnego. System oparty o  funkcjonalności : testy uruchamiane automatycznie lub w trybie interaktywnym,  możliwość powtórzenia testów. podsumowanie testów z możliwością zapisywania wyników,  uruchamianie gruntownych testów, uruchamianie szybkich testów lub pojedynczego testu dla konkretnego podzespołu. Uruchamianie testów zdefiniowanych przez użytkownika, wyświetlanie wiadomości, które informują o stanie przeprowadzanych testów,  wyświetlanie wiadomości o błędach, które informują o problemach napotkanych podczas testów. Test musi zawierać informację o nazwie komputera, wersji BIOS, numerze seryjnym komputera. Podawać dokładne informacje o wszystkich zainstalowanych komponentach, a w szczególności zawierać informacje o numerze seryjnym, typie i pojemności dysku twardego, informacji o obrotach wentylatora CPU, informacji o procesorze w tym model i taktowanie, informacji o pamięci w tym wielkość podana w MB, obsadzenie w konkretnym banku, typ pamięci wraz z taktowanie oraz SN i PN, wykaz temperatur CPU, pamięci, temperatury panującej wewnątrz. System działający nawet w przypadku braku dysku twardego lub  w przypadku jego uszkodzenia, pozwalający na uzyskanie wyżej wymienionych funkcjonalności a w szczególności na przetestowanie : procesora i pamięci. W przypadku braku możliwości uruchomienia graficznego systemu diagnostycznego komputer musi zawierać w sobie dodatkowo niezależny system diagnostyczny wizualny oparty o sygnalizację świetlną informujący użytkownika o awarii (system opisany przy obudowie). Czujnik otwarcia obudowy współpracujący z oprogramowaniem do zarządzania i współpracujący z BIOS zapisując incydenty w logach.</w:t>
            </w:r>
          </w:p>
        </w:tc>
      </w:tr>
      <w:tr>
        <w:trPr>
          <w:trHeight w:val="1122"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BIOS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 xml:space="preserve">BIOS zgodny ze specyfikacją UEFI, wyprodukowany przez producenta komputera, zawierający logo producenta komputera lub nazwę producenta komputera lub nazwę modelu oferowanego komputera, </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 xml:space="preserve">Pełna obsługa BIOS za pomocą klawiatury i myszy oraz samej myszy. </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 xml:space="preserve">BIOS wyposażony w automatyczną detekcję zmiany konfiguracji, automatycznie nanoszący zmiany w konfiguracji w szczególności: procesor, wielkość pamięci, pojemność dysku. </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Funkcja blokowania/odblokowania BOOT-owania stacji roboczej z zewnętrznych urządzeń.</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Możliwość ustawienia hasła użytkownika umożliwiającego uruchomienie komputera (zabezpieczenie przed nieautoryzowanym uruchomieniem) oraz uprawniającego do samodzielnej zmiany tego hasła przez użytkownika (bez możliwości zmiany innych parametrów konfiguracji BIOS) przy jednoczesnym zdefiniowanym haśle administratora. Użytkownik po wpisaniu swojego hasła jest wstanie zidentyfikować ustawienia BIOS.</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Możliwość włączenia/wyłączenia kontrolera SATA ( w tym w szczególności pojedynczo)</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Możliwość włączenia/wyłączenia kontrolera audio,</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Możliwość włączenia/wyłączenia układu TPM.</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Możliwość ustawienia portów USB w trybie „no BOOT”, czyli podczas startu komputer nie wykrywa urządzeń bootujących typu USB, natomiast po uruchomieniu systemu operacyjnego porty USB są aktywne.</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 xml:space="preserve">Funkcja zbierania i zapisywania incydentów, Możliwość przeglądania i kasowania zdarzeń przebiegu procedury POST. Funkcja ta obejmuje datę i godzinę oraz opis incydentu kodu wizualnego systemu diagnostycznego. </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Funkcja pozwalająca na  włączenie/wyłączenie automatycznego tworzenia recovery BIOS na dysku twardym lub na urządzeniu zewnętrznym podpiętym przez USB</w:t>
            </w:r>
          </w:p>
          <w:p>
            <w:pPr>
              <w:pStyle w:val="Normal"/>
              <w:spacing w:lineRule="auto" w:line="240" w:before="0" w:after="0"/>
              <w:rPr>
                <w:rFonts w:eastAsia="Times New Roman" w:cs="Calibri" w:cstheme="minorHAnsi"/>
                <w:bCs/>
                <w:color w:val="000000" w:themeColor="text1"/>
                <w:sz w:val="20"/>
                <w:szCs w:val="20"/>
                <w:lang w:eastAsia="pl-PL"/>
              </w:rPr>
            </w:pPr>
            <w:r>
              <w:rPr>
                <w:rFonts w:eastAsia="Times New Roman" w:cs="Calibri" w:cstheme="minorHAnsi"/>
                <w:bCs/>
                <w:color w:val="000000" w:themeColor="text1"/>
                <w:sz w:val="20"/>
                <w:szCs w:val="20"/>
                <w:lang w:eastAsia="pl-PL"/>
              </w:rPr>
              <w:t xml:space="preserve">Możliwość wyłączania portów USB pojedynczo. </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bCs/>
                <w:sz w:val="20"/>
                <w:szCs w:val="20"/>
                <w:lang w:eastAsia="pl-PL"/>
              </w:rPr>
            </w:pPr>
            <w:r>
              <w:rPr>
                <w:rFonts w:eastAsia="Times New Roman" w:cs="Calibri" w:cstheme="minorHAnsi"/>
                <w:b/>
                <w:bCs/>
                <w:sz w:val="20"/>
                <w:szCs w:val="20"/>
                <w:lang w:eastAsia="pl-PL"/>
              </w:rPr>
              <w:t>Certyfikaty i standardy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Certyfikat ISO 9001 dla producenta sprzętu (</w:t>
            </w:r>
            <w:r>
              <w:rPr>
                <w:rFonts w:eastAsia="Times New Roman" w:cs="Calibri" w:cstheme="minorHAnsi"/>
                <w:sz w:val="20"/>
                <w:szCs w:val="20"/>
                <w:u w:val="single"/>
                <w:lang w:eastAsia="pl-PL"/>
              </w:rPr>
              <w:t>załączyć dokument potwierdzający spełnianie wymogu</w:t>
            </w:r>
            <w:r>
              <w:rPr>
                <w:rFonts w:eastAsia="Times New Roman" w:cs="Calibri" w:cstheme="minorHAnsi"/>
                <w:sz w:val="20"/>
                <w:szCs w:val="20"/>
                <w:lang w:eastAsia="pl-PL"/>
              </w:rPr>
              <w:t xml:space="preserve">).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Deklaracja zgodności CE (</w:t>
            </w:r>
            <w:r>
              <w:rPr>
                <w:rFonts w:eastAsia="Times New Roman" w:cs="Calibri" w:cstheme="minorHAnsi"/>
                <w:sz w:val="20"/>
                <w:szCs w:val="20"/>
                <w:u w:val="single"/>
                <w:lang w:eastAsia="pl-PL"/>
              </w:rPr>
              <w:t>załączyć do oferty</w:t>
            </w:r>
            <w:r>
              <w:rPr>
                <w:rFonts w:eastAsia="Times New Roman" w:cs="Calibri" w:cstheme="minorHAnsi"/>
                <w:sz w:val="20"/>
                <w:szCs w:val="20"/>
                <w:lang w:eastAsia="pl-PL"/>
              </w:rPr>
              <w:t>)</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Certyfikat TCO, wymagana certyfikacja na stronie : https://tcocertified.com/product-finder/ – </w:t>
            </w:r>
            <w:r>
              <w:rPr>
                <w:rFonts w:eastAsia="Times New Roman" w:cs="Calibri" w:cstheme="minorHAnsi"/>
                <w:sz w:val="20"/>
                <w:szCs w:val="20"/>
                <w:u w:val="single"/>
                <w:lang w:eastAsia="pl-PL"/>
              </w:rPr>
              <w:t>załączyć do oferty wydruk z strony</w:t>
            </w:r>
            <w:bookmarkStart w:id="15" w:name="_Hlk38435917"/>
            <w:bookmarkEnd w:id="15"/>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83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
                <w:b/>
                <w:bCs/>
                <w:sz w:val="20"/>
                <w:szCs w:val="20"/>
                <w:lang w:eastAsia="pl-PL"/>
              </w:rPr>
            </w:pPr>
            <w:r>
              <w:rPr>
                <w:rFonts w:eastAsia="Times New Roman" w:cs="Calibri" w:cstheme="minorHAnsi"/>
                <w:b/>
                <w:bCs/>
                <w:sz w:val="20"/>
                <w:szCs w:val="20"/>
                <w:lang w:eastAsia="pl-PL"/>
              </w:rPr>
              <w:t>Warunki gwarancji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36 miesięcy </w:t>
            </w:r>
            <w:r>
              <w:rPr>
                <w:rFonts w:eastAsia="Times New Roman" w:cs="Calibri" w:cstheme="minorHAnsi"/>
                <w:b/>
                <w:bCs/>
                <w:sz w:val="20"/>
                <w:szCs w:val="20"/>
                <w:lang w:eastAsia="pl-PL"/>
              </w:rPr>
              <w:t>(lub dłużej zgodnie ze złożoną ofertą)</w:t>
            </w:r>
            <w:r>
              <w:rPr>
                <w:rFonts w:eastAsia="Times New Roman" w:cs="Calibri" w:cstheme="minorHAnsi"/>
                <w:sz w:val="20"/>
                <w:szCs w:val="20"/>
                <w:lang w:eastAsia="pl-PL"/>
              </w:rPr>
              <w:t xml:space="preserve"> </w:t>
            </w:r>
            <w:r>
              <w:rPr>
                <w:rFonts w:eastAsia="Times New Roman" w:cs="Calibri" w:cstheme="minorHAnsi"/>
                <w:bCs/>
                <w:sz w:val="20"/>
                <w:szCs w:val="20"/>
                <w:lang w:eastAsia="pl-PL"/>
              </w:rPr>
              <w:t>gwarancji producenta świadczona na miejscu u klienta.</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Czas reakcji serwisu - do końca następnego dnia roboczego.</w:t>
            </w:r>
          </w:p>
          <w:p>
            <w:pPr>
              <w:pStyle w:val="Normal"/>
              <w:spacing w:lineRule="auto" w:line="240" w:before="0" w:after="0"/>
              <w:jc w:val="both"/>
              <w:rPr>
                <w:rFonts w:eastAsia="Times New Roman" w:cs="Calibri" w:cstheme="minorHAnsi"/>
                <w:bCs/>
                <w:sz w:val="20"/>
                <w:szCs w:val="20"/>
                <w:lang w:eastAsia="pl-PL"/>
              </w:rPr>
            </w:pPr>
            <w:bookmarkStart w:id="16" w:name="_Hlk38436081"/>
            <w:r>
              <w:rPr>
                <w:rFonts w:eastAsia="Times New Roman" w:cs="Calibri" w:cstheme="minorHAnsi"/>
                <w:bCs/>
                <w:sz w:val="20"/>
                <w:szCs w:val="20"/>
                <w:lang w:eastAsia="pl-PL"/>
              </w:rPr>
              <w:t xml:space="preserve">Firma serwisująca musi posiadać ISO 9001 na świadczenie usług serwisowych oraz posiadać autoryzacje producenta komputera </w:t>
            </w:r>
            <w:bookmarkEnd w:id="16"/>
            <w:r>
              <w:rPr>
                <w:rFonts w:eastAsia="Times New Roman" w:cs="Calibri" w:cstheme="minorHAnsi"/>
                <w:bCs/>
                <w:sz w:val="20"/>
                <w:szCs w:val="20"/>
                <w:lang w:eastAsia="pl-PL"/>
              </w:rPr>
              <w:t xml:space="preserve">– </w:t>
            </w:r>
            <w:r>
              <w:rPr>
                <w:rFonts w:eastAsia="Times New Roman" w:cs="Calibri" w:cstheme="minorHAnsi"/>
                <w:bCs/>
                <w:sz w:val="20"/>
                <w:szCs w:val="20"/>
                <w:u w:val="single"/>
                <w:lang w:eastAsia="pl-PL"/>
              </w:rPr>
              <w:t>dokumenty potwierdzające załączyć do oferty</w:t>
            </w:r>
            <w:r>
              <w:rPr>
                <w:rFonts w:eastAsia="Times New Roman" w:cs="Calibri" w:cstheme="minorHAnsi"/>
                <w:bCs/>
                <w:sz w:val="20"/>
                <w:szCs w:val="20"/>
                <w:lang w:eastAsia="pl-PL"/>
              </w:rPr>
              <w:t>.</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Wymagane dołączenie do oferty </w:t>
            </w:r>
            <w:bookmarkStart w:id="17" w:name="_Hlk38436191"/>
            <w:r>
              <w:rPr>
                <w:rFonts w:eastAsia="Times New Roman" w:cs="Calibri" w:cstheme="minorHAnsi"/>
                <w:bCs/>
                <w:sz w:val="20"/>
                <w:szCs w:val="20"/>
                <w:lang w:eastAsia="pl-PL"/>
              </w:rPr>
              <w:t xml:space="preserve">oświadczenia Wykonawcy lub Producenta lub podmiotu realizującego serwis potwierdzające, że Serwis urządzeń będzie realizowany bezpośrednio przez Producenta i/lub we współpracy z Autoryzowanym Partnerem Serwisowym Producenta. W przypadku awarii dysk twardy zostaje u Zamawiającego </w:t>
            </w:r>
            <w:bookmarkEnd w:id="17"/>
            <w:r>
              <w:rPr>
                <w:rFonts w:eastAsia="Times New Roman" w:cs="Calibri" w:cstheme="minorHAnsi"/>
                <w:bCs/>
                <w:sz w:val="20"/>
                <w:szCs w:val="20"/>
                <w:lang w:eastAsia="pl-PL"/>
              </w:rPr>
              <w:t xml:space="preserve">– </w:t>
            </w:r>
            <w:r>
              <w:rPr>
                <w:rFonts w:eastAsia="Times New Roman" w:cs="Calibri" w:cstheme="minorHAnsi"/>
                <w:bCs/>
                <w:sz w:val="20"/>
                <w:szCs w:val="20"/>
                <w:u w:val="single"/>
                <w:lang w:eastAsia="pl-PL"/>
              </w:rPr>
              <w:t>dokumenty potwierdzające załączyć do oferty</w:t>
            </w:r>
            <w:r>
              <w:rPr>
                <w:rFonts w:eastAsia="Times New Roman" w:cs="Calibri" w:cstheme="minorHAnsi"/>
                <w:bCs/>
                <w:sz w:val="20"/>
                <w:szCs w:val="20"/>
                <w:lang w:eastAsia="pl-PL"/>
              </w:rPr>
              <w:t>.</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r>
          </w:p>
          <w:p>
            <w:pPr>
              <w:pStyle w:val="Normal"/>
              <w:suppressAutoHyphens w:val="true"/>
              <w:snapToGrid w:val="false"/>
              <w:spacing w:lineRule="auto" w:line="240" w:before="0" w:after="0"/>
              <w:jc w:val="both"/>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Wsparcie techniczne producenta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Możliwość telefonicznego sprawdzenia konfiguracji sprzętowej komputera oraz warunków gwarancji po podaniu numeru seryjnego bezpośrednio u producenta lub jego przedstawiciela.</w:t>
            </w:r>
          </w:p>
          <w:p>
            <w:pPr>
              <w:pStyle w:val="Normal"/>
              <w:spacing w:lineRule="auto" w:line="240" w:before="0" w:after="0"/>
              <w:jc w:val="both"/>
              <w:rPr>
                <w:rFonts w:eastAsia="Times New Roman" w:cs="Calibri" w:cstheme="minorHAnsi"/>
                <w:bCs/>
                <w:sz w:val="20"/>
                <w:szCs w:val="20"/>
                <w:lang w:eastAsia="pl-PL"/>
              </w:rPr>
            </w:pPr>
            <w:bookmarkStart w:id="18" w:name="_Hlk38436377"/>
            <w:r>
              <w:rPr>
                <w:rFonts w:eastAsia="Times New Roman" w:cs="Calibri" w:cstheme="minorHAnsi"/>
                <w:bCs/>
                <w:sz w:val="20"/>
                <w:szCs w:val="20"/>
                <w:lang w:eastAsia="pl-PL"/>
              </w:rPr>
              <w:t xml:space="preserve">Dostęp do najnowszych sterowników i uaktualnień na stronie producenta zestawu realizowany poprzez podanie na dedykowanej stronie internetowej producenta numeru seryjnego lub modelu komputera </w:t>
            </w:r>
            <w:bookmarkEnd w:id="18"/>
            <w:r>
              <w:rPr>
                <w:rFonts w:eastAsia="Times New Roman" w:cs="Calibri" w:cstheme="minorHAnsi"/>
                <w:bCs/>
                <w:sz w:val="20"/>
                <w:szCs w:val="20"/>
                <w:lang w:eastAsia="pl-PL"/>
              </w:rPr>
              <w:t xml:space="preserve">– </w:t>
            </w:r>
            <w:r>
              <w:rPr>
                <w:rFonts w:eastAsia="Times New Roman" w:cs="Calibri" w:cstheme="minorHAnsi"/>
                <w:bCs/>
                <w:sz w:val="20"/>
                <w:szCs w:val="20"/>
                <w:u w:val="single"/>
                <w:lang w:eastAsia="pl-PL"/>
              </w:rPr>
              <w:t>do oferty należy dołączyć link strony</w:t>
            </w:r>
            <w:r>
              <w:rPr>
                <w:rFonts w:eastAsia="Times New Roman" w:cs="Calibri" w:cstheme="minorHAnsi"/>
                <w:bCs/>
                <w:sz w:val="20"/>
                <w:szCs w:val="20"/>
                <w:lang w:eastAsia="pl-PL"/>
              </w:rPr>
              <w:t>.</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16.</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System operacyjny</w:t>
            </w:r>
          </w:p>
        </w:tc>
        <w:tc>
          <w:tcPr>
            <w:tcW w:w="7514"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Zainstalowany system musi spełniać następujące wymagania, poprzez wbudowane mechanizmy, bez użycia dodatkowych aplikacji: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dokonywania aktualizacji i poprawek systemu przez Internet z możliwością wyboru instalowanych poprawek;</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dokonywania uaktualnień sterowników urządzeń przez Internet – witrynę producenta systemu;</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Darmowe aktualizacje w ramach wersji systemu operacyjnego przez Internet (niezbędne aktualizacje, poprawki, biuletyny bezpieczeństwa muszą być dostarczane bez dodatkowych opłat);</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Internetowa aktualizacja zapewniona w języku polskim;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Wbudowana zapora internetowa (firewall) dla ochrony połączeń internetowych; zintegrowana z systemem konsola do zarządzania ustawieniami zapory i regułami IP v4 i v6;</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Zlokalizowane w języku polskim, co najmniej następujące elementy:  menu, odtwarzacz multimediów, pomoc, komunikaty systemowe;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Wsparcie dla większości powszechnie używanych urządzeń peryferyjnych (drukarek, urządzeń sieciowych, standardów USB, Plug &amp;Play, Wi-Fi)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Funkcjonalność automatycznej zmiany domyślnej drukarki w zależności od sieci, do której podłączony jest komputer;</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Interfejs użytkownika działający w trybie graficznym z elementami 3D,</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zintegrowana z interfejsem użytkownika interaktywna część pulpitu służącą do uruchamiania aplikacji, które użytkownik może dowolnie wymieniać i pobrać ze strony producenta.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zdalnej automatycznej instalacji, konfiguracji, administrowania oraz aktualizowania systemu;</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Zabezpieczony hasłem hierarchiczny dostęp do systemu, konta i profile użytkowników zarządzane zdalnie; praca systemu w trybie ochrony kont użytkowników.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Zintegrowany z systemem moduł wyszukiwania informacji (plików różnego typu) dostępny z kilku poziomów: poziom menu, poziom otwartego okna systemu operacyjnego; system wyszukiwania oparty na konfigurowalnym przez użytkownika module indeksacji zasobów lokalnych.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Zintegrowane z systemem operacyjnym narzędzia zwalczające złośliwe oprogramowanie;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aktualizacje dostępne u producenta nieodpłatnie bez ograniczeń czasowych.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Funkcjonalność rozpoznawania mowy, pozwalającą na sterowanie komputerem głosowo, wraz z modułem „uczenia się” głosu użytkownika.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Zintegrowany z systemem operacyjnym moduł synchronizacji komputera z urządzeniami zewnętrznymi.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Wbudowany system pomocy w języku polskim;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przystosowania stanowiska dla osób niepełnosprawnych (np. słabo</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widzących);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zarządzania stacją roboczą poprzez polityki – przez politykę rozumiemy zestaw reguł definiujących lub ograniczających funkcjonalność systemu lub aplikacji;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Wdrażanie IPSEC oparte na politykach – wdrażanie IPSEC oparte na zestawach reguł</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definiujących ustawienia zarządzanych w sposób centralny;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Automatyczne występowanie i używanie (wystawianie) certyfikatów PKI X.509;</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Rozbudowane polityki bezpieczeństwa – polityki dla systemu operacyjnego i dla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wskazanych aplikacji;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System posiada narzędzia służące do administracji, do wykonywania kopii zapasowych polityk i ich odtwarzania oraz generowania raportów z ustawień polityk;</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Wsparcie dla Sun Java i .NET Framework 1.1 i 2.0 i 3.0 – możliwość uruchomienia aplikacji działających we wskazanych środowiskach;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Wsparcie dla JScript i VBScript – możliwość uruchamiania interpretera poleceń;</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Zdalna pomoc i współdzielenie aplikacji – możliwość zdalnego przejęcia sesji za logowanego użytkownika celem rozwiązania problemu z komputerem;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Rozwiązanie służące do automatycznego zbudowania obrazu systemu wraz z aplikacjami.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Obraz systemu służyć ma do automatycznego upowszechnienia systemu operacyjnego inicjowanego i wykonywanego w całości poprzez sieć komputerową;</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Rozwiązanie ma umożliwiające wdrożenie nowego obrazu poprzez zdalną instalację;</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Graficzne środowisko instalacji i konfiguracji;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Transakcyjny system plików pozwalający na stosowanie przydziałów (ang. quota) na dysku dla użytkowników oraz zapewniający większą niezawodność i pozwalający tworzyć kopie zapasowe;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Zarządzanie kontami użytkowników sieci oraz urządzeniami sieciowymi tj. drukarki, modemy, woluminy dyskowe, usługi katalogowe.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Oprogramowanie dla tworzenia kopii zapasowych (Backup); automatyczne wykonywanie kopii plików z możliwością automatycznego przywrócenia wersji wcześniejszej;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przywracania plików systemowych;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System operacyjny musi posiadać funkcjonalność pozwalającą na identyfikację sieci komputerowych, do których jest podłączony, zapamiętywanie ustawień i przypisywanie do min. 3 kategorii bezpieczeństwa (z predefiniowanymi odpowiednio do kategorii ustawieniami zapory sieciowej, udostępniania plików itp.)</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Możliwość blokowania lub dopuszczania dowolnych urządzeń peryferyjnych za pomocą polityk grupowych (np. przy użyciu numerów identyfikacyjnych sprzętu).</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17.</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Pakiet antywirusowy</w:t>
            </w:r>
          </w:p>
        </w:tc>
        <w:tc>
          <w:tcPr>
            <w:tcW w:w="7514"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auto" w:line="252" w:before="0" w:after="0"/>
              <w:contextualSpacing/>
              <w:textAlignment w:val="baseline"/>
              <w:rPr>
                <w:rFonts w:eastAsia="SimSun" w:cs="Calibri" w:cstheme="minorHAnsi"/>
                <w:b/>
                <w:b/>
                <w:kern w:val="2"/>
                <w:sz w:val="20"/>
                <w:szCs w:val="20"/>
              </w:rPr>
            </w:pPr>
            <w:r>
              <w:rPr>
                <w:rFonts w:eastAsia="SimSun" w:cs="Calibri" w:cstheme="minorHAnsi"/>
                <w:b/>
                <w:kern w:val="2"/>
                <w:sz w:val="20"/>
                <w:szCs w:val="20"/>
              </w:rPr>
              <w:t>Ochrona antywirusowa i antyspyware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 Pełna ochrona przed wirusami, trojanami, robakami i innymi zagrożeniami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 Pomoc techniczna, interfejs oraz dokumentacja dostarczona i świadczona w języku polskim.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 Wykrywanie i usuwanie niebezpiecznych aplikacji typu adware, spyware, dialer, phishing, narzędzi hakerskich, backdoor, itp.</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 Wbudowana technologia do ochrony przed rootkitami.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5. Skanowanie w czasie rzeczywistym otwieranych, zapisywanych i wykonywanych plików.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6. Możliwość skanowania całego dysku, wybranych katalogów lub pojedynczych plików "na żądanie".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7. Skanowanie "na żądanie" pojedynczych plików lub katalogów przy pomocy skrótu w menu kontekstowym.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8. Możliwość skanowania dysków sieciowych i dysków przenośnych.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9. Skanowanie plików spakowanych i skompresowanych.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10. Możliwość umieszczenia na liście wykluczenia ze skanowania wybranych plików, katalogów lub plików o określonych rozszerzeniach i procesów.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11. Skanowanie i oczyszczanie w czasie rzeczywistym poczty przychodzącej i wychodzącej obsługiwanej przy pomocy programu MS Outlook, Outlook Express.</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xml:space="preserve">12. Skanowanie i oczyszczanie poczty przychodzącej POP3 "w locie" (w czasie rzeczywistym), zanim zostanie dostarczona do klienta pocztowego zainstalowanego na stacji roboczej (niezależnie od konkretnego klienta pocztowego). </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13. Automatyczna integracja skanera POP3 z dowolnym klientem pocztowym bez konieczności zmian w konfiguracji.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14. Skanowanie ruchu HTTP na poziomie stacji roboczych. Zainfekowany ruch jest automatycznie blokowany a użytkownikowi wyświetlane jest stosowne powiadomienie.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15. Blokowanie możliwości przeglądania wybranych stron internetowych. Listę blokowanych stron internetowych określa administrator. Dodatkowo zdefiniowane są grupy stron przez producenta.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xml:space="preserve">16. Automatyczna integracja z dowolną przeglądarką internetową bez konieczności zmian w konfiguracji. </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17. Możliwość definiowania czy pliki z kwarantanny mają być przesyłane do producenta i co jaki czas ma się ta czynność odbywać.</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18. Program powinien umożliwiać skanowanie ruchu sieciowego wewnątrz szyfrowanych protokołów HTTPS.</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19.  Program powinien skanować ruch HTTPS transparentnie bez potrzeby konfiguracji zewnętrznych aplikacji takich jak przeglądarki Web lub programy pocztowe.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20. Możliwość zabezpieczenia programu przed deinstalacją przez niepowołaną osobę, nawet gdy posiada ona prawa lokalnego lub domenowego administratora, przy próbie deinstalacji program powinien pytać o hasło.</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21. Po kliknięciu prawym klawiszem myszy na ikonie programu i wybraniu opcji : O programie” możliwość zdefiniowania przez administratora danych do pomocy technicznej jak: adres strony pomocy, adres e-mail do administratora ochrony, numer telefonu do administratora ochrony.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22. Możliwość pobrania płyty ratunkowej, do uruchomienia z niej komputera i przeskanowania dysków umieszczonych w komputerze.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23. System antywirusowy uruchomiony z płyty bootowalnej lub pamięci USB powinien umożliwiać pełną aktualizację baz sygnatur wirusów z Internetu lub z bazy zapisanej na dysku.</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24. System antywirusowy uruchomiony z płyty bootowalnej lub pamięci USB powinien pracować w trybie graficznym.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25. Automatyczna, inkrementacyjna aktualizacja baz wirusów i innych zagrożeń.</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26. Obsługa pobierania aktualizacji za pośrednictwem serwera proxy.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27. Praca programu musi być niezauważalna dla użytkownika.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28. Dziennik zdarzeń rejestrujący informacje na temat znalezionych zagrożeń, dokonanych aktualizacji baz wirusów i samego oprogramowania bezpośrednio na stacji roboczej.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29. Stacje robocze mogą łączyć się do serwera administracyjnego za pośrednictwem sieci Internet.</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30. Oprogramowanie klienckie posiada wbudowana funkcje do komunikacji z serwerem administracyjnym, ale nie dopuszcza się osobnego agenta instalowanego na stacji roboczej.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31. Możliwość odblokowania ustawień programu po wpisaniu hasła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32. Posiada możliwość odblokowania ustawień lokalnych konfiguracji po doinstalowaniu modułu Super użytkownika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33. Wbudowany moduł kontroli urządzeń (możliwość blokowania całkowitego dostępu do urządzeń, podłączenia tylko do odczytu i w zależności do jakiego interfejsu w komputerze zostanie podłączone urządzenie)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34. Możliwość dodania zaufanych urządzeń bezpośrednio z konsoli administracyjnej, z bazy danych urządzeń podłączanych przez użytkowników do komputerów.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35. Funkcja Ochrony danych umożliwia blokowanie wysyłanych przez http lub smtp jak: (adresy e-mail, Piny, Konta bankowe, hasła itp.)</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36. Funkcja Ochrony danych konfigurowana zdalnie przez administratora.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37. Jedna wersja instalacyjna na stacje robocze i serwery plików.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38. Wbudowana zapora osobista, umożliwiająca tworzenie reguł na podstawie aplikacji oraz ruchu sieciowego.</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39. Wbudowany IDS</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40. Możliwość zainstalowania silnika pełnego, lekkiego z sprawdzaniem reputacji plików w chmurze, lub skanowanie przez centralny serwer bezpieczeństwa.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41. Możliwość tworzenia list sieci zaufanych.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42. Możliwość dezaktywacji funkcji zapory sieciowej.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43. Możliwość ochrony systemu bez instalacji na stacji roboczej silnika antywirusowego. Jego role przejmuje centralny serwer bezpieczeństwa odpowiedzialny za proces skanowania plików.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xml:space="preserve">44. Możliwość ustawienie skanowania z niskim priorytetem zmniejszając obciążenie systemu w trakcie wykonywania tego procesu. </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45. Dodatkowy moduł ochrony przeciwko zagrożeniom typu ransomware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r>
          </w:p>
          <w:p>
            <w:pPr>
              <w:pStyle w:val="Normal"/>
              <w:suppressAutoHyphens w:val="true"/>
              <w:spacing w:lineRule="auto" w:line="252" w:before="0" w:after="0"/>
              <w:contextualSpacing/>
              <w:textAlignment w:val="baseline"/>
              <w:rPr>
                <w:rFonts w:eastAsia="SimSun" w:cs="Calibri" w:cstheme="minorHAnsi"/>
                <w:b/>
                <w:b/>
                <w:kern w:val="2"/>
                <w:sz w:val="20"/>
                <w:szCs w:val="20"/>
              </w:rPr>
            </w:pPr>
            <w:r>
              <w:rPr>
                <w:rFonts w:eastAsia="SimSun" w:cs="Calibri" w:cstheme="minorHAnsi"/>
                <w:b/>
                <w:kern w:val="2"/>
                <w:sz w:val="20"/>
                <w:szCs w:val="20"/>
              </w:rPr>
              <w:t>Ochrona poczty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 Rozwiązanie musi zapewniać filtrowanie antymalware dla przychodzącego, wewnętrznego i  wychodzącego ruchu mailowego.</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 Rozwiązanie musi wspierać skanowanie "na życzenie" oraz skanowanie według harmonogramu dla skrzynek pocztowych i folderów publicznych, w tym możliwość zarówno wykluczenia konkretnych skrzynek bądź folderów publicznych, jak i skanowania tylko emaili z załącznikami bądź emaili otrzymanych w przeciągu ostatnich kilku godzin / dni.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 Zdolność konfigurowania różnych akcji wykonywanych na plikach zainfekowanych, podejrzanych oraz nie możliwych do przeskanowania.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 Możliwość wykluczenia potencjalnie niechcianych aplikacji (PUA) z filtrowania antymalware.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5. Możliwość skanowania w poszukiwania malware wewnątrz archiwów.</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6. Rozwiązanie musi zapewniać filtr antyspamowy dla ruchu mailowego, z możliwością dodania do białej listy konkretnych adresów email i domen.</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7. Możliwość odpytania serwerów Realtime Blackhole List (RBL) zdefiniowanych przez administratorów i odfiltrowania wiadomości zaklasyfikowanych jako spam bazując na reputacji wysyłającego serwera.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8. Zdolność automatycznego oznaczenia jako spam wiadomości mailowych napisanych przy użyciu alfabetów azjatyckich bądź cyrylicy.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9. Zdolność do wykonania  zapytań bazujących na chmurze dla udoskonalonej ochrony przeciw nowemu spamowi.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10. Zdolność do podjęcia różnych akcji na wykrytych mailach ze spamem, takich jak poprzedzanie tematu maila konkretną etykietą, usunięcie, przeniesienie do kwarantanny bądź przekierowania maila do konkretnej skrzynki pocztowej.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11. Rozwiązanie musi zapewniać funkcjonalności filtrowania zawartości dla przychodzącego, wewnętrznego i wychodzącego ruchu mailowego, bazujące na konkretnym tekście bądź wyrażeniach regularnych zgodnych z tematem maila i/lub jego zawartością.</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12. Zdolność do podejmowania różnych akcji na emailach, pasujących do reguł filtrowania treści, takich jak dodawanie prefiksu w postaci taga do tematu maila, usuwanie, wysyłanie do kwarantanny bądź przekierowywanie emaila do konkretnej skrzynki.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r>
          </w:p>
          <w:p>
            <w:pPr>
              <w:pStyle w:val="Normal"/>
              <w:suppressAutoHyphens w:val="true"/>
              <w:spacing w:lineRule="auto" w:line="252" w:before="0" w:after="0"/>
              <w:contextualSpacing/>
              <w:textAlignment w:val="baseline"/>
              <w:rPr>
                <w:rFonts w:eastAsia="SimSun" w:cs="Calibri" w:cstheme="minorHAnsi"/>
                <w:b/>
                <w:b/>
                <w:kern w:val="2"/>
                <w:sz w:val="20"/>
                <w:szCs w:val="20"/>
              </w:rPr>
            </w:pPr>
            <w:r>
              <w:rPr>
                <w:rFonts w:eastAsia="SimSun" w:cs="Calibri" w:cstheme="minorHAnsi"/>
                <w:b/>
                <w:kern w:val="2"/>
                <w:sz w:val="20"/>
                <w:szCs w:val="20"/>
              </w:rPr>
              <w:t>Konsola zdalnej administracji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 Dwa typy konsoli administracyjnej: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Konsola Cloud – serwer administracyjny po stronie producenta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 xml:space="preserve">- Konsola On-premise – lokalny serwer administracyjny </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 Centralna instalacja i zarządzanie programami służącymi do ochrony stacji roboczych i serwerów plikowych Windows, zdalna instalacja na środowiskach wirtualnych.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3. Możliwość integracji z kontem Domenowym Active Directory w obu rodzajach konsoli.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4. W Konsoli Cloud dostępna jest tylko jedna maszyna integrująca z domeną Active Directory.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5. Centralna konfiguracja i zarządzanie ochroną antywirusową, antyspyware’ową,  oraz zaporą osobistą (tworzenie reguł obowiązujących dla wszystkich stacji) zainstalowanymi na stacjach roboczych w sieci korporacyjnej z jednego serwera zarządzającego.</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6. Możliwość uruchomienia zdalnego skanowania wybranych stacji roboczych.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7. Możliwość sprawdzenia z centralnej konsoli zarządzającej stanu ochrony stacji roboczej (aktualnych ustawień programu, wersji programu i bazy wirusów, wyników skanowania skanera na żądanie, Zainstalowanych modułów, ostatniej aktualizacji oraz przypisanej polityki).</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8. Możliwość sprawdzenia z centralnej konsoli zarządzającej podstawowych informacji dotyczących stacji roboczej: adresów IP, wersji systemu operacyjnego.</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9. Możliwość centralnej aktualizacji stacji roboczych z serwera w sieci lokalnej lub Internetu.</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10. Możliwość wysłania linku instalacyjnego bezpośrednio z poziomu konsoli administracyjnej.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11. Możliwość zmiany konfiguracji na stacjach i serwerach jedynie z centralnej konsoli  zarządzającej.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12. Możliwość uruchomienia centralnej konsoli jedynie z poziomu przeglądarki internetowej.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13. Możliwość ręcznego (na żądanie) i automatycznego generowanie raportów (według ustalonego harmonogramu) i wyeksportowanie go do formatu: pdf i csv</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14. Raport generowany według harmonogramu z możliwością automatycznego wysłania go do osób zdefiniowanych w tym raporcie również zbiorczo w formie archiwum zip.</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15. Każdy z rodzajów ochrony musi być rozdzielony w osobnych oknach konfiguracyjnych, komputery fizyczne, Urządzenia mobilne.</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16. Serwer centralnej administracji musi posiadać funkcje przełączenia się miedzy widokiem maszyn fizycznych i urządzeń mobilnych. Tak by wyświetlana była jedynie wskazana grupa urządzeń chronionych.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17. Po instalacji oprogramowania antywirusowego nie jest wymagane ponowne uruchomienie komputera do prawidłowego działania programu.</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18. Możliwość dezinstalacji oprogramowania antywirusowego innych firm.</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19. W całym okresie trwania subskrypcji użytkownik ma prawo do korzystania z bezpłatnej pomocy technicznej świadczonej za pośrednictwem telefonu i poczty elektronicznej.</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20. Możliwość synchronizacji serwera administracyjnego z Active Directory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21. Możliwość aktualizacji serwera administracyjnego bez potrzeby przeinstalowywania.</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22. Tworzenie osobnych polityk dla fizycznych komputerów, urządzeń mobilnych oraz maszyn wirtualnych.</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t>23. Możliwość zarządzania ochroną na serwerach Exchange, tworzenie polityk i konfiguracji zdalnej ochrony.</w:t>
            </w:r>
          </w:p>
          <w:p>
            <w:pPr>
              <w:pStyle w:val="Normal"/>
              <w:suppressAutoHyphens w:val="true"/>
              <w:spacing w:lineRule="auto" w:line="252" w:before="0" w:after="0"/>
              <w:contextualSpacing/>
              <w:textAlignment w:val="baseline"/>
              <w:rPr>
                <w:rFonts w:eastAsia="SimSun" w:cs="Calibri" w:cstheme="minorHAnsi"/>
                <w:kern w:val="2"/>
                <w:sz w:val="20"/>
                <w:szCs w:val="20"/>
              </w:rPr>
            </w:pPr>
            <w:r>
              <w:rPr>
                <w:rFonts w:eastAsia="SimSun" w:cs="Calibri" w:cstheme="minorHAnsi"/>
                <w:kern w:val="2"/>
                <w:sz w:val="20"/>
                <w:szCs w:val="20"/>
              </w:rPr>
            </w:r>
          </w:p>
          <w:p>
            <w:pPr>
              <w:pStyle w:val="Normal"/>
              <w:suppressAutoHyphens w:val="true"/>
              <w:spacing w:lineRule="auto" w:line="252" w:before="0" w:after="0"/>
              <w:contextualSpacing/>
              <w:textAlignment w:val="baseline"/>
              <w:rPr>
                <w:rFonts w:eastAsia="SimSun" w:cs="Calibri" w:cstheme="minorHAnsi"/>
                <w:b/>
                <w:b/>
                <w:kern w:val="2"/>
                <w:sz w:val="20"/>
                <w:szCs w:val="20"/>
                <w:u w:val="single"/>
              </w:rPr>
            </w:pPr>
            <w:r>
              <w:rPr>
                <w:rFonts w:eastAsia="SimSun" w:cs="Calibri" w:cstheme="minorHAnsi"/>
                <w:b/>
                <w:kern w:val="2"/>
                <w:sz w:val="20"/>
                <w:szCs w:val="20"/>
                <w:u w:val="single"/>
              </w:rPr>
              <w:t>Licencja na oprogramowanie antywirusowe minimum 3 lata.</w:t>
            </w:r>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18.</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Pakiet biurowy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sz w:val="20"/>
                <w:szCs w:val="20"/>
              </w:rPr>
            </w:pPr>
            <w:r>
              <w:rPr>
                <w:rFonts w:eastAsia="Times New Roman" w:cs="Calibri" w:cstheme="minorHAnsi"/>
                <w:smallCaps/>
                <w:sz w:val="20"/>
                <w:szCs w:val="20"/>
              </w:rPr>
              <w:t>Interfejs użytkownika</w:t>
            </w:r>
            <w:r>
              <w:rPr>
                <w:rFonts w:eastAsia="Times New Roman" w:cs="Calibri" w:cstheme="minorHAnsi"/>
                <w:sz w:val="20"/>
                <w:szCs w:val="20"/>
              </w:rPr>
              <w:t>:</w:t>
            </w:r>
          </w:p>
          <w:p>
            <w:pPr>
              <w:pStyle w:val="Normal"/>
              <w:widowControl w:val="false"/>
              <w:spacing w:lineRule="auto" w:line="240" w:before="0" w:after="0"/>
              <w:jc w:val="both"/>
              <w:rPr>
                <w:rFonts w:cs="Calibri" w:cstheme="minorHAnsi"/>
                <w:sz w:val="20"/>
                <w:szCs w:val="20"/>
              </w:rPr>
            </w:pPr>
            <w:r>
              <w:rPr>
                <w:rFonts w:cs="Calibri" w:cstheme="minorHAnsi"/>
                <w:sz w:val="20"/>
                <w:szCs w:val="20"/>
              </w:rPr>
              <w:t>- pełna polska wersja językowa interfejsu użytkownika,</w:t>
            </w:r>
          </w:p>
          <w:p>
            <w:pPr>
              <w:pStyle w:val="Normal"/>
              <w:widowControl w:val="false"/>
              <w:spacing w:lineRule="auto" w:line="240" w:before="0" w:after="0"/>
              <w:jc w:val="both"/>
              <w:rPr>
                <w:rFonts w:cs="Calibri" w:cstheme="minorHAnsi"/>
                <w:sz w:val="20"/>
                <w:szCs w:val="20"/>
              </w:rPr>
            </w:pPr>
            <w:r>
              <w:rPr>
                <w:rFonts w:cs="Calibri" w:cstheme="minorHAnsi"/>
                <w:sz w:val="20"/>
                <w:szCs w:val="20"/>
              </w:rPr>
              <w:t>- prostota i intuicyjność obsługi, pozwalająca na pracę osobom nie posiadającym umiejętności technicznych,</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r>
          </w:p>
          <w:p>
            <w:pPr>
              <w:pStyle w:val="Normal"/>
              <w:spacing w:lineRule="auto" w:line="240" w:before="0" w:after="0"/>
              <w:jc w:val="both"/>
              <w:rPr>
                <w:rFonts w:eastAsia="Times New Roman" w:cs="Calibri" w:cstheme="minorHAnsi"/>
                <w:smallCaps/>
                <w:sz w:val="20"/>
                <w:szCs w:val="20"/>
              </w:rPr>
            </w:pPr>
            <w:r>
              <w:rPr>
                <w:rFonts w:eastAsia="Times New Roman" w:cs="Calibri" w:cstheme="minorHAnsi"/>
                <w:smallCaps/>
                <w:sz w:val="20"/>
                <w:szCs w:val="20"/>
              </w:rPr>
              <w:t>Tworzenie i edycja dokumentów elektronicznych:</w:t>
            </w:r>
          </w:p>
          <w:p>
            <w:pPr>
              <w:pStyle w:val="Normal"/>
              <w:widowControl w:val="false"/>
              <w:spacing w:lineRule="auto" w:line="240" w:before="0" w:after="0"/>
              <w:jc w:val="both"/>
              <w:rPr>
                <w:rFonts w:cs="Calibri" w:cstheme="minorHAnsi"/>
                <w:sz w:val="20"/>
                <w:szCs w:val="20"/>
              </w:rPr>
            </w:pPr>
            <w:r>
              <w:rPr>
                <w:rFonts w:cs="Calibri" w:cstheme="minorHAnsi"/>
                <w:sz w:val="20"/>
                <w:szCs w:val="20"/>
              </w:rPr>
              <w:t>- kompletny i publicznie dostępny opis formatu,</w:t>
            </w:r>
          </w:p>
          <w:p>
            <w:pPr>
              <w:pStyle w:val="Normal"/>
              <w:widowControl w:val="false"/>
              <w:spacing w:lineRule="auto" w:line="240" w:before="0" w:after="0"/>
              <w:jc w:val="both"/>
              <w:rPr>
                <w:rFonts w:cs="Calibri" w:cstheme="minorHAnsi"/>
                <w:sz w:val="20"/>
                <w:szCs w:val="20"/>
              </w:rPr>
            </w:pPr>
            <w:r>
              <w:rPr>
                <w:rFonts w:cs="Calibri" w:cstheme="minorHAnsi"/>
                <w:sz w:val="20"/>
                <w:szCs w:val="20"/>
              </w:rPr>
              <w:t>- zdefiniowany układ informacji w postaci XML zgodnie z Tabelą B1 załącznika 2 Rozporządzenia w sprawie minimalnych wymagań dla systemów teleinformatycznych (Dz.U.05.212.1766),</w:t>
            </w:r>
          </w:p>
          <w:p>
            <w:pPr>
              <w:pStyle w:val="Normal"/>
              <w:widowControl w:val="false"/>
              <w:spacing w:lineRule="auto" w:line="240" w:before="0" w:after="0"/>
              <w:jc w:val="both"/>
              <w:rPr>
                <w:rFonts w:cs="Calibri" w:cstheme="minorHAnsi"/>
                <w:sz w:val="20"/>
                <w:szCs w:val="20"/>
              </w:rPr>
            </w:pPr>
            <w:r>
              <w:rPr>
                <w:rFonts w:cs="Calibri" w:cstheme="minorHAnsi"/>
                <w:sz w:val="20"/>
                <w:szCs w:val="20"/>
              </w:rPr>
              <w:t>- umożliwia wykorzystanie schematów XML,</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wspiera w swojej specyfikacji podpis elektroniczny zgodnie z Tabelą A. 1.1 załącznika 2 Rozporządzenia w sprawie minimalnych wymagań dla systemów teleinformatycznych (Dz.U.05.212.1766).</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r>
          </w:p>
          <w:p>
            <w:pPr>
              <w:pStyle w:val="Normal"/>
              <w:spacing w:lineRule="auto" w:line="240" w:before="0" w:after="0"/>
              <w:jc w:val="both"/>
              <w:rPr>
                <w:rFonts w:eastAsia="Times New Roman" w:cs="Calibri" w:cstheme="minorHAnsi"/>
                <w:sz w:val="20"/>
                <w:szCs w:val="20"/>
              </w:rPr>
            </w:pPr>
            <w:r>
              <w:rPr>
                <w:rFonts w:eastAsia="Times New Roman" w:cs="Calibri" w:cstheme="minorHAnsi"/>
                <w:smallCaps/>
                <w:sz w:val="20"/>
                <w:szCs w:val="20"/>
              </w:rPr>
              <w:t>Edytor tekstów</w:t>
            </w:r>
            <w:r>
              <w:rPr>
                <w:rFonts w:eastAsia="Times New Roman" w:cs="Calibri" w:cstheme="minorHAnsi"/>
                <w:sz w:val="20"/>
                <w:szCs w:val="20"/>
              </w:rPr>
              <w:t>:</w:t>
            </w:r>
          </w:p>
          <w:p>
            <w:pPr>
              <w:pStyle w:val="Normal"/>
              <w:widowControl w:val="false"/>
              <w:spacing w:lineRule="auto" w:line="240" w:before="0" w:after="0"/>
              <w:jc w:val="both"/>
              <w:rPr>
                <w:rFonts w:cs="Calibri" w:cstheme="minorHAnsi"/>
                <w:sz w:val="20"/>
                <w:szCs w:val="20"/>
              </w:rPr>
            </w:pPr>
            <w:r>
              <w:rPr>
                <w:rFonts w:cs="Calibri" w:cstheme="minorHAnsi"/>
                <w:sz w:val="20"/>
                <w:szCs w:val="20"/>
              </w:rPr>
              <w:t>- edycja i formatowanie tekstu w języku polskim wraz z obsługą języka polskiego w zakresie sprawdzania pisowni i poprawności gramatycznej oraz funkcjonalnością słownika wyrazów bliskoznacznych i autokorekty,</w:t>
            </w:r>
          </w:p>
          <w:p>
            <w:pPr>
              <w:pStyle w:val="Normal"/>
              <w:widowControl w:val="false"/>
              <w:spacing w:lineRule="auto" w:line="240" w:before="0" w:after="0"/>
              <w:jc w:val="both"/>
              <w:rPr>
                <w:rFonts w:cs="Calibri" w:cstheme="minorHAnsi"/>
                <w:sz w:val="20"/>
                <w:szCs w:val="20"/>
              </w:rPr>
            </w:pPr>
            <w:r>
              <w:rPr>
                <w:rFonts w:cs="Calibri" w:cstheme="minorHAnsi"/>
                <w:sz w:val="20"/>
                <w:szCs w:val="20"/>
              </w:rPr>
              <w:t>- wstawianie oraz formatowanie tabel,</w:t>
            </w:r>
          </w:p>
          <w:p>
            <w:pPr>
              <w:pStyle w:val="Normal"/>
              <w:widowControl w:val="false"/>
              <w:spacing w:lineRule="auto" w:line="240" w:before="0" w:after="0"/>
              <w:jc w:val="both"/>
              <w:rPr>
                <w:rFonts w:cs="Calibri" w:cstheme="minorHAnsi"/>
                <w:sz w:val="20"/>
                <w:szCs w:val="20"/>
              </w:rPr>
            </w:pPr>
            <w:r>
              <w:rPr>
                <w:rFonts w:cs="Calibri" w:cstheme="minorHAnsi"/>
                <w:sz w:val="20"/>
                <w:szCs w:val="20"/>
              </w:rPr>
              <w:t>- wstawianie oraz formatowanie obiektów graficznych,</w:t>
            </w:r>
          </w:p>
          <w:p>
            <w:pPr>
              <w:pStyle w:val="Normal"/>
              <w:widowControl w:val="false"/>
              <w:spacing w:lineRule="auto" w:line="240" w:before="0" w:after="0"/>
              <w:jc w:val="both"/>
              <w:rPr>
                <w:rFonts w:cs="Calibri" w:cstheme="minorHAnsi"/>
                <w:sz w:val="20"/>
                <w:szCs w:val="20"/>
              </w:rPr>
            </w:pPr>
            <w:r>
              <w:rPr>
                <w:rFonts w:cs="Calibri" w:cstheme="minorHAnsi"/>
                <w:sz w:val="20"/>
                <w:szCs w:val="20"/>
              </w:rPr>
              <w:t>- wstawianie wykresów i tabel z arkusza kalkulacyjnego (wliczając tabele przestawne),</w:t>
            </w:r>
          </w:p>
          <w:p>
            <w:pPr>
              <w:pStyle w:val="Normal"/>
              <w:widowControl w:val="false"/>
              <w:spacing w:lineRule="auto" w:line="240" w:before="0" w:after="0"/>
              <w:jc w:val="both"/>
              <w:rPr>
                <w:rFonts w:cs="Calibri" w:cstheme="minorHAnsi"/>
                <w:sz w:val="20"/>
                <w:szCs w:val="20"/>
              </w:rPr>
            </w:pPr>
            <w:r>
              <w:rPr>
                <w:rFonts w:cs="Calibri" w:cstheme="minorHAnsi"/>
                <w:sz w:val="20"/>
                <w:szCs w:val="20"/>
              </w:rPr>
              <w:t>- automatyczne numerowanie rozdziałów, punktów, akapitów, tabel i rysunków,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automatyczne tworzenie spisów treści,</w:t>
            </w:r>
          </w:p>
          <w:p>
            <w:pPr>
              <w:pStyle w:val="Normal"/>
              <w:widowControl w:val="false"/>
              <w:spacing w:lineRule="auto" w:line="240" w:before="0" w:after="0"/>
              <w:jc w:val="both"/>
              <w:rPr>
                <w:rFonts w:cs="Calibri" w:cstheme="minorHAnsi"/>
                <w:sz w:val="20"/>
                <w:szCs w:val="20"/>
              </w:rPr>
            </w:pPr>
            <w:r>
              <w:rPr>
                <w:rFonts w:cs="Calibri" w:cstheme="minorHAnsi"/>
                <w:sz w:val="20"/>
                <w:szCs w:val="20"/>
              </w:rPr>
              <w:t>- formatowanie nagłówków i stopek stron,</w:t>
            </w:r>
          </w:p>
          <w:p>
            <w:pPr>
              <w:pStyle w:val="Normal"/>
              <w:widowControl w:val="false"/>
              <w:spacing w:lineRule="auto" w:line="240" w:before="0" w:after="0"/>
              <w:jc w:val="both"/>
              <w:rPr>
                <w:rFonts w:cs="Calibri" w:cstheme="minorHAnsi"/>
                <w:sz w:val="20"/>
                <w:szCs w:val="20"/>
              </w:rPr>
            </w:pPr>
            <w:r>
              <w:rPr>
                <w:rFonts w:cs="Calibri" w:cstheme="minorHAnsi"/>
                <w:sz w:val="20"/>
                <w:szCs w:val="20"/>
              </w:rPr>
              <w:t>- sprawdzanie pisowni w języku polskim,</w:t>
            </w:r>
          </w:p>
          <w:p>
            <w:pPr>
              <w:pStyle w:val="Normal"/>
              <w:widowControl w:val="false"/>
              <w:spacing w:lineRule="auto" w:line="240" w:before="0" w:after="0"/>
              <w:jc w:val="both"/>
              <w:rPr>
                <w:rFonts w:cs="Calibri" w:cstheme="minorHAnsi"/>
                <w:sz w:val="20"/>
                <w:szCs w:val="20"/>
              </w:rPr>
            </w:pPr>
            <w:r>
              <w:rPr>
                <w:rFonts w:cs="Calibri" w:cstheme="minorHAnsi"/>
                <w:sz w:val="20"/>
                <w:szCs w:val="20"/>
              </w:rPr>
              <w:t>- śledzenie zmian wprowadzonych przez użytkowników,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nagrywanie, tworzenie i edycję makr automatyzujących wykonywanie czynności,</w:t>
            </w:r>
          </w:p>
          <w:p>
            <w:pPr>
              <w:pStyle w:val="Normal"/>
              <w:widowControl w:val="false"/>
              <w:spacing w:lineRule="auto" w:line="240" w:before="0" w:after="0"/>
              <w:jc w:val="both"/>
              <w:rPr>
                <w:rFonts w:cs="Calibri" w:cstheme="minorHAnsi"/>
                <w:sz w:val="20"/>
                <w:szCs w:val="20"/>
              </w:rPr>
            </w:pPr>
            <w:r>
              <w:rPr>
                <w:rFonts w:cs="Calibri" w:cstheme="minorHAnsi"/>
                <w:sz w:val="20"/>
                <w:szCs w:val="20"/>
              </w:rPr>
              <w:t>- określenie układu strony (pionowa/pozioma),</w:t>
            </w:r>
          </w:p>
          <w:p>
            <w:pPr>
              <w:pStyle w:val="Normal"/>
              <w:widowControl w:val="false"/>
              <w:spacing w:lineRule="auto" w:line="240" w:before="0" w:after="0"/>
              <w:jc w:val="both"/>
              <w:rPr>
                <w:rFonts w:cs="Calibri" w:cstheme="minorHAnsi"/>
                <w:sz w:val="20"/>
                <w:szCs w:val="20"/>
              </w:rPr>
            </w:pPr>
            <w:r>
              <w:rPr>
                <w:rFonts w:cs="Calibri" w:cstheme="minorHAnsi"/>
                <w:sz w:val="20"/>
                <w:szCs w:val="20"/>
              </w:rPr>
              <w:t>- wydruk dokumentów,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wykonywanie korespondencji seryjnej bazując na danych adresowych pochodzących z arkusza kalkulacyjnego i z narzędzia do zarządzania informacją prywatną</w:t>
            </w:r>
          </w:p>
          <w:p>
            <w:pPr>
              <w:pStyle w:val="Normal"/>
              <w:widowControl w:val="false"/>
              <w:spacing w:lineRule="auto" w:line="240" w:before="0" w:after="0"/>
              <w:jc w:val="both"/>
              <w:rPr>
                <w:rFonts w:cs="Calibri" w:cstheme="minorHAnsi"/>
                <w:sz w:val="20"/>
                <w:szCs w:val="20"/>
              </w:rPr>
            </w:pPr>
            <w:r>
              <w:rPr>
                <w:rFonts w:cs="Calibri" w:cstheme="minorHAnsi"/>
                <w:sz w:val="20"/>
                <w:szCs w:val="20"/>
              </w:rPr>
              <w:t>- pracę na dokumentach utworzonych przy pomocy Microsoft Word 2003 lub Microsoft Word 2007, 2010, 2013, 2016, 2019 z zapewnieniem bezproblemowej konwersji wszystkich elementów i atrybutów dokumentu,</w:t>
            </w:r>
          </w:p>
          <w:p>
            <w:pPr>
              <w:pStyle w:val="Normal"/>
              <w:widowControl w:val="false"/>
              <w:spacing w:lineRule="auto" w:line="240" w:before="0" w:after="0"/>
              <w:jc w:val="both"/>
              <w:rPr>
                <w:rFonts w:cs="Calibri" w:cstheme="minorHAnsi"/>
                <w:sz w:val="20"/>
                <w:szCs w:val="20"/>
              </w:rPr>
            </w:pPr>
            <w:r>
              <w:rPr>
                <w:rFonts w:cs="Calibri" w:cstheme="minorHAnsi"/>
                <w:sz w:val="20"/>
                <w:szCs w:val="20"/>
              </w:rPr>
              <w:t>- zabezpieczenie dokumentów hasłem przed odczytem oraz przed wprowadzaniem modyfikacji,</w:t>
            </w:r>
          </w:p>
          <w:p>
            <w:pPr>
              <w:pStyle w:val="Normal"/>
              <w:widowControl w:val="false"/>
              <w:spacing w:lineRule="auto" w:line="240" w:before="0" w:after="0"/>
              <w:jc w:val="both"/>
              <w:rPr>
                <w:rFonts w:cs="Calibri" w:cstheme="minorHAnsi"/>
                <w:sz w:val="20"/>
                <w:szCs w:val="20"/>
              </w:rPr>
            </w:pPr>
            <w:r>
              <w:rPr>
                <w:rFonts w:cs="Calibri" w:cstheme="minorHAnsi"/>
                <w:sz w:val="20"/>
                <w:szCs w:val="20"/>
              </w:rPr>
              <w:t>- wymagana jest dostępność do oferowanego edytora tekstu bezpłatnych narzędzi umożliwiających wykorzystanie go, jako środowiska udostępniającego formularze bazujące na schematach XML z Centralnego Repozytorium Wzorów Dokumentów Elektronicznych, które po wypełnieniu umożliwiają zapisanie pliku XML w zgodzie z obowiązującym prawem,</w:t>
            </w:r>
          </w:p>
          <w:p>
            <w:pPr>
              <w:pStyle w:val="Normal"/>
              <w:widowControl w:val="false"/>
              <w:spacing w:lineRule="auto" w:line="240" w:before="0" w:after="0"/>
              <w:jc w:val="both"/>
              <w:rPr>
                <w:rFonts w:cs="Calibri" w:cstheme="minorHAnsi"/>
                <w:sz w:val="20"/>
                <w:szCs w:val="20"/>
              </w:rPr>
            </w:pPr>
            <w:r>
              <w:rPr>
                <w:rFonts w:cs="Calibri" w:cstheme="minorHAnsi"/>
                <w:sz w:val="20"/>
                <w:szCs w:val="20"/>
              </w:rPr>
              <w:t>- wymagana jest dostępność do oferowanego edytora tekstu bezpłatnych narzędzi (kontrolki) umożliwiających podpisanie podpisem elektronicznym pliku z zapisanym dokumentem przy pomocy certyfikatu kwalifikowanego zgodnie z wymaganiami obowiązującego w Polsce prawa,</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wymagana jest dostępność do oferowanego edytora tekstu bezpłatnych narzędzi umożliwiających wykorzystanie go, jako środowiska udostępniającego formularze i pozwalające zapisać plik wynikowy w zgodzie z Rozporządzeniem o Aktach Normatywnych i Prawnych.</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r>
          </w:p>
          <w:p>
            <w:pPr>
              <w:pStyle w:val="Normal"/>
              <w:spacing w:lineRule="auto" w:line="240" w:before="0" w:after="0"/>
              <w:jc w:val="both"/>
              <w:rPr>
                <w:rFonts w:eastAsia="Times New Roman" w:cs="Calibri" w:cstheme="minorHAnsi"/>
                <w:smallCaps/>
                <w:sz w:val="20"/>
                <w:szCs w:val="20"/>
              </w:rPr>
            </w:pPr>
            <w:r>
              <w:rPr>
                <w:rFonts w:eastAsia="Times New Roman" w:cs="Calibri" w:cstheme="minorHAnsi"/>
                <w:smallCaps/>
                <w:sz w:val="20"/>
                <w:szCs w:val="20"/>
              </w:rPr>
              <w:t>Arkusz kalkulacyjny:</w:t>
            </w:r>
          </w:p>
          <w:p>
            <w:pPr>
              <w:pStyle w:val="Normal"/>
              <w:widowControl w:val="false"/>
              <w:spacing w:lineRule="auto" w:line="240" w:before="0" w:after="0"/>
              <w:jc w:val="both"/>
              <w:rPr>
                <w:rFonts w:cs="Calibri" w:cstheme="minorHAnsi"/>
                <w:sz w:val="20"/>
                <w:szCs w:val="20"/>
              </w:rPr>
            </w:pPr>
            <w:r>
              <w:rPr>
                <w:rFonts w:cs="Calibri" w:cstheme="minorHAnsi"/>
                <w:sz w:val="20"/>
                <w:szCs w:val="20"/>
              </w:rPr>
              <w:t>- tworzenie raportów tabelarycznych,</w:t>
            </w:r>
          </w:p>
          <w:p>
            <w:pPr>
              <w:pStyle w:val="Normal"/>
              <w:widowControl w:val="false"/>
              <w:spacing w:lineRule="auto" w:line="240" w:before="0" w:after="0"/>
              <w:jc w:val="both"/>
              <w:rPr>
                <w:rFonts w:cs="Calibri" w:cstheme="minorHAnsi"/>
                <w:sz w:val="20"/>
                <w:szCs w:val="20"/>
              </w:rPr>
            </w:pPr>
            <w:r>
              <w:rPr>
                <w:rFonts w:cs="Calibri" w:cstheme="minorHAnsi"/>
                <w:sz w:val="20"/>
                <w:szCs w:val="20"/>
              </w:rPr>
              <w:t>- tworzenie wykresów liniowych (wraz linią trendu), słupkowych, kołowych,</w:t>
            </w:r>
          </w:p>
          <w:p>
            <w:pPr>
              <w:pStyle w:val="Normal"/>
              <w:widowControl w:val="false"/>
              <w:spacing w:lineRule="auto" w:line="240" w:before="0" w:after="0"/>
              <w:jc w:val="both"/>
              <w:rPr>
                <w:rFonts w:cs="Calibri" w:cstheme="minorHAnsi"/>
                <w:sz w:val="20"/>
                <w:szCs w:val="20"/>
              </w:rPr>
            </w:pPr>
            <w:r>
              <w:rPr>
                <w:rFonts w:cs="Calibri" w:cstheme="minorHAnsi"/>
                <w:sz w:val="20"/>
                <w:szCs w:val="20"/>
              </w:rPr>
              <w:t>-tworzenie arkuszy kalkulacyjnych zawierających teksty, dane liczbowe oraz formuły przeprowadzające operacje matematyczne, logiczne, tekstowe, statystyczne oraz operacje na danych finansowych i na miarach czasu,</w:t>
            </w:r>
          </w:p>
          <w:p>
            <w:pPr>
              <w:pStyle w:val="Normal"/>
              <w:widowControl w:val="false"/>
              <w:spacing w:lineRule="auto" w:line="240" w:before="0" w:after="0"/>
              <w:jc w:val="both"/>
              <w:rPr>
                <w:rFonts w:cs="Calibri" w:cstheme="minorHAnsi"/>
                <w:sz w:val="20"/>
                <w:szCs w:val="20"/>
              </w:rPr>
            </w:pPr>
            <w:r>
              <w:rPr>
                <w:rFonts w:cs="Calibri" w:cstheme="minorHAnsi"/>
                <w:sz w:val="20"/>
                <w:szCs w:val="20"/>
              </w:rPr>
              <w:t>- tworzenie raportów z zewnętrznych źródeł danych (inne arkusze kalkulacyjne, bazy danych zgodne z ODBC, pliki tekstowe, pliki XML, webservice),</w:t>
            </w:r>
          </w:p>
          <w:p>
            <w:pPr>
              <w:pStyle w:val="Normal"/>
              <w:widowControl w:val="false"/>
              <w:spacing w:lineRule="auto" w:line="240" w:before="0" w:after="0"/>
              <w:jc w:val="both"/>
              <w:rPr>
                <w:rFonts w:cs="Calibri" w:cstheme="minorHAnsi"/>
                <w:sz w:val="20"/>
                <w:szCs w:val="20"/>
              </w:rPr>
            </w:pPr>
            <w:r>
              <w:rPr>
                <w:rFonts w:cs="Calibri" w:cstheme="minorHAnsi"/>
                <w:sz w:val="20"/>
                <w:szCs w:val="20"/>
              </w:rPr>
              <w:t>- obsługę kostek OLAP oraz tworzenie i edycję kwerend bazodanowych i webowych. Narzędzia wspomagające analizę statystyczną i finansową analizę wariantową i rozwiązywanie problemów optymalizacyjnych,</w:t>
            </w:r>
          </w:p>
          <w:p>
            <w:pPr>
              <w:pStyle w:val="Normal"/>
              <w:widowControl w:val="false"/>
              <w:spacing w:lineRule="auto" w:line="240" w:before="0" w:after="0"/>
              <w:jc w:val="both"/>
              <w:rPr>
                <w:rFonts w:cs="Calibri" w:cstheme="minorHAnsi"/>
                <w:sz w:val="20"/>
                <w:szCs w:val="20"/>
              </w:rPr>
            </w:pPr>
            <w:r>
              <w:rPr>
                <w:rFonts w:cs="Calibri" w:cstheme="minorHAnsi"/>
                <w:sz w:val="20"/>
                <w:szCs w:val="20"/>
              </w:rPr>
              <w:t>- tworzenie raportów tabeli przestawnych umożliwiających dynamiczną zmianę wymiarów oraz wykresów bazujących na danych z tabeli przestawnych,</w:t>
            </w:r>
          </w:p>
          <w:p>
            <w:pPr>
              <w:pStyle w:val="Normal"/>
              <w:widowControl w:val="false"/>
              <w:spacing w:lineRule="auto" w:line="240" w:before="0" w:after="0"/>
              <w:jc w:val="both"/>
              <w:rPr>
                <w:rFonts w:cs="Calibri" w:cstheme="minorHAnsi"/>
                <w:sz w:val="20"/>
                <w:szCs w:val="20"/>
              </w:rPr>
            </w:pPr>
            <w:r>
              <w:rPr>
                <w:rFonts w:cs="Calibri" w:cstheme="minorHAnsi"/>
                <w:sz w:val="20"/>
                <w:szCs w:val="20"/>
              </w:rPr>
              <w:t>- wyszukiwanie i zamianę danych,</w:t>
            </w:r>
          </w:p>
          <w:p>
            <w:pPr>
              <w:pStyle w:val="Normal"/>
              <w:widowControl w:val="false"/>
              <w:spacing w:lineRule="auto" w:line="240" w:before="0" w:after="0"/>
              <w:jc w:val="both"/>
              <w:rPr>
                <w:rFonts w:cs="Calibri" w:cstheme="minorHAnsi"/>
                <w:sz w:val="20"/>
                <w:szCs w:val="20"/>
              </w:rPr>
            </w:pPr>
            <w:r>
              <w:rPr>
                <w:rFonts w:cs="Calibri" w:cstheme="minorHAnsi"/>
                <w:sz w:val="20"/>
                <w:szCs w:val="20"/>
              </w:rPr>
              <w:t>- wykonywanie analiz danych przy użyciu formatowania warunkowego,</w:t>
            </w:r>
          </w:p>
          <w:p>
            <w:pPr>
              <w:pStyle w:val="Normal"/>
              <w:widowControl w:val="false"/>
              <w:spacing w:lineRule="auto" w:line="240" w:before="0" w:after="0"/>
              <w:jc w:val="both"/>
              <w:rPr>
                <w:rFonts w:cs="Calibri" w:cstheme="minorHAnsi"/>
                <w:sz w:val="20"/>
                <w:szCs w:val="20"/>
              </w:rPr>
            </w:pPr>
            <w:r>
              <w:rPr>
                <w:rFonts w:cs="Calibri" w:cstheme="minorHAnsi"/>
                <w:sz w:val="20"/>
                <w:szCs w:val="20"/>
              </w:rPr>
              <w:t>- nazywanie komórek arkusza i odwoływanie się w formułach po takiej nazwie,</w:t>
            </w:r>
          </w:p>
          <w:p>
            <w:pPr>
              <w:pStyle w:val="Normal"/>
              <w:widowControl w:val="false"/>
              <w:spacing w:lineRule="auto" w:line="240" w:before="0" w:after="0"/>
              <w:jc w:val="both"/>
              <w:rPr>
                <w:rFonts w:cs="Calibri" w:cstheme="minorHAnsi"/>
                <w:sz w:val="20"/>
                <w:szCs w:val="20"/>
              </w:rPr>
            </w:pPr>
            <w:r>
              <w:rPr>
                <w:rFonts w:cs="Calibri" w:cstheme="minorHAnsi"/>
                <w:sz w:val="20"/>
                <w:szCs w:val="20"/>
              </w:rPr>
              <w:t>- nagrywanie, tworzenie i edycję makr automatyzujących wykonywanie czynność,</w:t>
            </w:r>
          </w:p>
          <w:p>
            <w:pPr>
              <w:pStyle w:val="Normal"/>
              <w:widowControl w:val="false"/>
              <w:spacing w:lineRule="auto" w:line="240" w:before="0" w:after="0"/>
              <w:jc w:val="both"/>
              <w:rPr>
                <w:rFonts w:cs="Calibri" w:cstheme="minorHAnsi"/>
                <w:sz w:val="20"/>
                <w:szCs w:val="20"/>
              </w:rPr>
            </w:pPr>
            <w:r>
              <w:rPr>
                <w:rFonts w:cs="Calibri" w:cstheme="minorHAnsi"/>
                <w:sz w:val="20"/>
                <w:szCs w:val="20"/>
              </w:rPr>
              <w:t>- formatowanie czasu, daty i wartości finansowych z polskim formatem I. Zapis wielu arkuszy kalkulacyjnych w jednym pliku,</w:t>
            </w:r>
          </w:p>
          <w:p>
            <w:pPr>
              <w:pStyle w:val="Normal"/>
              <w:widowControl w:val="false"/>
              <w:spacing w:lineRule="auto" w:line="240" w:before="0" w:after="0"/>
              <w:jc w:val="both"/>
              <w:rPr>
                <w:rFonts w:cs="Calibri" w:cstheme="minorHAnsi"/>
                <w:sz w:val="20"/>
                <w:szCs w:val="20"/>
              </w:rPr>
            </w:pPr>
            <w:r>
              <w:rPr>
                <w:rFonts w:cs="Calibri" w:cstheme="minorHAnsi"/>
                <w:sz w:val="20"/>
                <w:szCs w:val="20"/>
              </w:rPr>
              <w:t>- zachowanie pełnej zgodności z formatami plików utworzonych za pomocą oprogramowania Microsoft Excel 2003 oraz Microsoft Excel 2007, 2010, 2013, 2016, 2019 z uwzględnieniem poprawnej realizacji użytych w nich funkcji specjalnych i makropoleceń,</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zabezpieczenie dokumentów hasłem przed odczytem oraz przed wprowadzaniem modyfikacji.</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r>
          </w:p>
          <w:p>
            <w:pPr>
              <w:pStyle w:val="Normal"/>
              <w:spacing w:lineRule="auto" w:line="240" w:before="0" w:after="0"/>
              <w:jc w:val="both"/>
              <w:rPr>
                <w:rFonts w:eastAsia="Times New Roman" w:cs="Calibri" w:cstheme="minorHAnsi"/>
                <w:smallCaps/>
                <w:sz w:val="20"/>
                <w:szCs w:val="20"/>
              </w:rPr>
            </w:pPr>
            <w:r>
              <w:rPr>
                <w:rFonts w:eastAsia="Times New Roman" w:cs="Calibri" w:cstheme="minorHAnsi"/>
                <w:smallCaps/>
                <w:sz w:val="20"/>
                <w:szCs w:val="20"/>
              </w:rPr>
              <w:t>Narzędzie do przygotowywania i prowadzenia prezentacji:</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prezentowanie przy użyciu projektora multimedialnego,</w:t>
            </w:r>
          </w:p>
          <w:p>
            <w:pPr>
              <w:pStyle w:val="Normal"/>
              <w:widowControl w:val="false"/>
              <w:spacing w:lineRule="auto" w:line="240" w:before="0" w:after="0"/>
              <w:jc w:val="both"/>
              <w:rPr>
                <w:rFonts w:cs="Calibri" w:cstheme="minorHAnsi"/>
                <w:sz w:val="20"/>
                <w:szCs w:val="20"/>
              </w:rPr>
            </w:pPr>
            <w:r>
              <w:rPr>
                <w:rFonts w:cs="Calibri" w:cstheme="minorHAnsi"/>
                <w:sz w:val="20"/>
                <w:szCs w:val="20"/>
              </w:rPr>
              <w:t>- drukowanie w formacie umożliwiającym robienie notatek,</w:t>
            </w:r>
          </w:p>
          <w:p>
            <w:pPr>
              <w:pStyle w:val="Normal"/>
              <w:widowControl w:val="false"/>
              <w:spacing w:lineRule="auto" w:line="240" w:before="0" w:after="0"/>
              <w:jc w:val="both"/>
              <w:rPr>
                <w:rFonts w:cs="Calibri" w:cstheme="minorHAnsi"/>
                <w:sz w:val="20"/>
                <w:szCs w:val="20"/>
              </w:rPr>
            </w:pPr>
            <w:r>
              <w:rPr>
                <w:rFonts w:cs="Calibri" w:cstheme="minorHAnsi"/>
                <w:sz w:val="20"/>
                <w:szCs w:val="20"/>
              </w:rPr>
              <w:t>- zapisanie jako prezentacja tylko do odczytu,</w:t>
            </w:r>
          </w:p>
          <w:p>
            <w:pPr>
              <w:pStyle w:val="Normal"/>
              <w:widowControl w:val="false"/>
              <w:spacing w:lineRule="auto" w:line="240" w:before="0" w:after="0"/>
              <w:jc w:val="both"/>
              <w:rPr>
                <w:rFonts w:cs="Calibri" w:cstheme="minorHAnsi"/>
                <w:sz w:val="20"/>
                <w:szCs w:val="20"/>
              </w:rPr>
            </w:pPr>
            <w:r>
              <w:rPr>
                <w:rFonts w:cs="Calibri" w:cstheme="minorHAnsi"/>
                <w:sz w:val="20"/>
                <w:szCs w:val="20"/>
              </w:rPr>
              <w:t>- nagrywanie narracji i dołączanie jej do prezentacji,</w:t>
            </w:r>
          </w:p>
          <w:p>
            <w:pPr>
              <w:pStyle w:val="Normal"/>
              <w:widowControl w:val="false"/>
              <w:spacing w:lineRule="auto" w:line="240" w:before="0" w:after="0"/>
              <w:jc w:val="both"/>
              <w:rPr>
                <w:rFonts w:cs="Calibri" w:cstheme="minorHAnsi"/>
                <w:sz w:val="20"/>
                <w:szCs w:val="20"/>
              </w:rPr>
            </w:pPr>
            <w:r>
              <w:rPr>
                <w:rFonts w:cs="Calibri" w:cstheme="minorHAnsi"/>
                <w:sz w:val="20"/>
                <w:szCs w:val="20"/>
              </w:rPr>
              <w:t>- opatrywanie slajdów notatkami dla prezentera,</w:t>
            </w:r>
          </w:p>
          <w:p>
            <w:pPr>
              <w:pStyle w:val="Normal"/>
              <w:widowControl w:val="false"/>
              <w:spacing w:lineRule="auto" w:line="240" w:before="0" w:after="0"/>
              <w:jc w:val="both"/>
              <w:rPr>
                <w:rFonts w:cs="Calibri" w:cstheme="minorHAnsi"/>
                <w:sz w:val="20"/>
                <w:szCs w:val="20"/>
              </w:rPr>
            </w:pPr>
            <w:r>
              <w:rPr>
                <w:rFonts w:cs="Calibri" w:cstheme="minorHAnsi"/>
                <w:sz w:val="20"/>
                <w:szCs w:val="20"/>
              </w:rPr>
              <w:t>- umieszczanie i formatowanie tekstów, obiektów graficznych, tabel, nagrań dźwiękowych i wideo,</w:t>
            </w:r>
          </w:p>
          <w:p>
            <w:pPr>
              <w:pStyle w:val="Normal"/>
              <w:widowControl w:val="false"/>
              <w:spacing w:lineRule="auto" w:line="240" w:before="0" w:after="0"/>
              <w:jc w:val="both"/>
              <w:rPr>
                <w:rFonts w:cs="Calibri" w:cstheme="minorHAnsi"/>
                <w:sz w:val="20"/>
                <w:szCs w:val="20"/>
              </w:rPr>
            </w:pPr>
            <w:r>
              <w:rPr>
                <w:rFonts w:cs="Calibri" w:cstheme="minorHAnsi"/>
                <w:sz w:val="20"/>
                <w:szCs w:val="20"/>
              </w:rPr>
              <w:t>- umieszczanie tabel i wykresów pochodzących z arkusza kalkulacyjnego,</w:t>
            </w:r>
          </w:p>
          <w:p>
            <w:pPr>
              <w:pStyle w:val="Normal"/>
              <w:widowControl w:val="false"/>
              <w:spacing w:lineRule="auto" w:line="240" w:before="0" w:after="0"/>
              <w:jc w:val="both"/>
              <w:rPr>
                <w:rFonts w:cs="Calibri" w:cstheme="minorHAnsi"/>
                <w:sz w:val="20"/>
                <w:szCs w:val="20"/>
              </w:rPr>
            </w:pPr>
            <w:r>
              <w:rPr>
                <w:rFonts w:cs="Calibri" w:cstheme="minorHAnsi"/>
                <w:sz w:val="20"/>
                <w:szCs w:val="20"/>
              </w:rPr>
              <w:t>- odświeżenie wykresu znajdującego się w prezentacji po zmianie danych w źródłowym arkuszu kalkulacyjnym,</w:t>
            </w:r>
          </w:p>
          <w:p>
            <w:pPr>
              <w:pStyle w:val="Normal"/>
              <w:widowControl w:val="false"/>
              <w:spacing w:lineRule="auto" w:line="240" w:before="0" w:after="0"/>
              <w:jc w:val="both"/>
              <w:rPr>
                <w:rFonts w:cs="Calibri" w:cstheme="minorHAnsi"/>
                <w:sz w:val="20"/>
                <w:szCs w:val="20"/>
              </w:rPr>
            </w:pPr>
            <w:r>
              <w:rPr>
                <w:rFonts w:cs="Calibri" w:cstheme="minorHAnsi"/>
                <w:sz w:val="20"/>
                <w:szCs w:val="20"/>
              </w:rPr>
              <w:t>- możliwość tworzenia animacji obiektów i całych slajdów,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prowadzenie prezentacji w trybie prezentera, gdzie slajdy są widoczne na jednym, monitorze lub projektorze, a na drugim widoczne są slajdy i notatki prezentera,</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pełna zgodność z formatami plików utworzonych za pomocą oprogramowania MS PowerPoint 2003, MS PowerPoint 2007, 2010, 2013, 2016, 2019.</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r>
          </w:p>
          <w:p>
            <w:pPr>
              <w:pStyle w:val="Normal"/>
              <w:spacing w:lineRule="auto" w:line="240" w:before="0" w:after="0"/>
              <w:jc w:val="both"/>
              <w:rPr>
                <w:rFonts w:eastAsia="Times New Roman" w:cs="Calibri" w:cstheme="minorHAnsi"/>
                <w:smallCaps/>
                <w:sz w:val="20"/>
                <w:szCs w:val="20"/>
              </w:rPr>
            </w:pPr>
            <w:r>
              <w:rPr>
                <w:rFonts w:eastAsia="Times New Roman" w:cs="Calibri" w:cstheme="minorHAnsi"/>
                <w:smallCaps/>
                <w:sz w:val="20"/>
                <w:szCs w:val="20"/>
              </w:rPr>
              <w:t>Narzędzie do zarządzania informacją prywatną (pocztą elektroniczną kalendarzem, kontaktami i zadaniami):</w:t>
            </w:r>
          </w:p>
          <w:p>
            <w:pPr>
              <w:pStyle w:val="Normal"/>
              <w:widowControl w:val="false"/>
              <w:spacing w:lineRule="auto" w:line="240" w:before="0" w:after="0"/>
              <w:jc w:val="both"/>
              <w:rPr>
                <w:rFonts w:cs="Calibri" w:cstheme="minorHAnsi"/>
                <w:sz w:val="20"/>
                <w:szCs w:val="20"/>
              </w:rPr>
            </w:pPr>
            <w:r>
              <w:rPr>
                <w:rFonts w:cs="Calibri" w:cstheme="minorHAnsi"/>
                <w:sz w:val="20"/>
                <w:szCs w:val="20"/>
              </w:rPr>
              <w:t>- pobieranie i wysyłanie poczty elektronicznej z serwera pocztowego,</w:t>
            </w:r>
          </w:p>
          <w:p>
            <w:pPr>
              <w:pStyle w:val="Normal"/>
              <w:widowControl w:val="false"/>
              <w:spacing w:lineRule="auto" w:line="240" w:before="0" w:after="0"/>
              <w:jc w:val="both"/>
              <w:rPr>
                <w:rFonts w:cs="Calibri" w:cstheme="minorHAnsi"/>
                <w:sz w:val="20"/>
                <w:szCs w:val="20"/>
              </w:rPr>
            </w:pPr>
            <w:r>
              <w:rPr>
                <w:rFonts w:cs="Calibri" w:cstheme="minorHAnsi"/>
                <w:sz w:val="20"/>
                <w:szCs w:val="20"/>
              </w:rPr>
              <w:t>- filtrowanie niechcianej poczty elektronicznej (SPAM) oraz określanie listy zablokowanych i bezpiecznych nadawców,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tworzenie katalogów, pozwalających katalogować pocztę elektroniczną,</w:t>
            </w:r>
          </w:p>
          <w:p>
            <w:pPr>
              <w:pStyle w:val="Normal"/>
              <w:widowControl w:val="false"/>
              <w:spacing w:lineRule="auto" w:line="240" w:before="0" w:after="0"/>
              <w:jc w:val="both"/>
              <w:rPr>
                <w:rFonts w:cs="Calibri" w:cstheme="minorHAnsi"/>
                <w:sz w:val="20"/>
                <w:szCs w:val="20"/>
              </w:rPr>
            </w:pPr>
            <w:r>
              <w:rPr>
                <w:rFonts w:cs="Calibri" w:cstheme="minorHAnsi"/>
                <w:sz w:val="20"/>
                <w:szCs w:val="20"/>
              </w:rPr>
              <w:t>- automatyczne grupowanie poczty o tym samym tytule,</w:t>
            </w:r>
          </w:p>
          <w:p>
            <w:pPr>
              <w:pStyle w:val="Normal"/>
              <w:widowControl w:val="false"/>
              <w:spacing w:lineRule="auto" w:line="240" w:before="0" w:after="0"/>
              <w:jc w:val="both"/>
              <w:rPr>
                <w:rFonts w:cs="Calibri" w:cstheme="minorHAnsi"/>
                <w:sz w:val="20"/>
                <w:szCs w:val="20"/>
              </w:rPr>
            </w:pPr>
            <w:r>
              <w:rPr>
                <w:rFonts w:cs="Calibri" w:cstheme="minorHAnsi"/>
                <w:sz w:val="20"/>
                <w:szCs w:val="20"/>
              </w:rPr>
              <w:t>- tworzenie reguł przenoszących automatycznie nową pocztę elektroniczną do określonych katalogów bazując na słowach zawartych w tytule, adresie nadawcy i odbiorcy,</w:t>
            </w:r>
          </w:p>
          <w:p>
            <w:pPr>
              <w:pStyle w:val="Normal"/>
              <w:widowControl w:val="false"/>
              <w:spacing w:lineRule="auto" w:line="240" w:before="0" w:after="0"/>
              <w:jc w:val="both"/>
              <w:rPr>
                <w:rFonts w:cs="Calibri" w:cstheme="minorHAnsi"/>
                <w:sz w:val="20"/>
                <w:szCs w:val="20"/>
              </w:rPr>
            </w:pPr>
            <w:r>
              <w:rPr>
                <w:rFonts w:cs="Calibri" w:cstheme="minorHAnsi"/>
                <w:sz w:val="20"/>
                <w:szCs w:val="20"/>
              </w:rPr>
              <w:t>- oflagowanie poczty elektronicznej z określeniem terminu przypomnienia,</w:t>
            </w:r>
          </w:p>
          <w:p>
            <w:pPr>
              <w:pStyle w:val="Normal"/>
              <w:widowControl w:val="false"/>
              <w:spacing w:lineRule="auto" w:line="240" w:before="0" w:after="0"/>
              <w:jc w:val="both"/>
              <w:rPr>
                <w:rFonts w:cs="Calibri" w:cstheme="minorHAnsi"/>
                <w:sz w:val="20"/>
                <w:szCs w:val="20"/>
              </w:rPr>
            </w:pPr>
            <w:r>
              <w:rPr>
                <w:rFonts w:cs="Calibri" w:cstheme="minorHAnsi"/>
                <w:sz w:val="20"/>
                <w:szCs w:val="20"/>
              </w:rPr>
              <w:t>- zarządzanie kalendarzem,</w:t>
            </w:r>
          </w:p>
          <w:p>
            <w:pPr>
              <w:pStyle w:val="Normal"/>
              <w:widowControl w:val="false"/>
              <w:spacing w:lineRule="auto" w:line="240" w:before="0" w:after="0"/>
              <w:jc w:val="both"/>
              <w:rPr>
                <w:rFonts w:cs="Calibri" w:cstheme="minorHAnsi"/>
                <w:sz w:val="20"/>
                <w:szCs w:val="20"/>
              </w:rPr>
            </w:pPr>
            <w:r>
              <w:rPr>
                <w:rFonts w:cs="Calibri" w:cstheme="minorHAnsi"/>
                <w:sz w:val="20"/>
                <w:szCs w:val="20"/>
              </w:rPr>
              <w:t>- udostępnianie Kalendarza innym użytkownikom,</w:t>
            </w:r>
          </w:p>
          <w:p>
            <w:pPr>
              <w:pStyle w:val="Normal"/>
              <w:widowControl w:val="false"/>
              <w:spacing w:lineRule="auto" w:line="240" w:before="0" w:after="0"/>
              <w:jc w:val="both"/>
              <w:rPr>
                <w:rFonts w:cs="Calibri" w:cstheme="minorHAnsi"/>
                <w:sz w:val="20"/>
                <w:szCs w:val="20"/>
              </w:rPr>
            </w:pPr>
            <w:r>
              <w:rPr>
                <w:rFonts w:cs="Calibri" w:cstheme="minorHAnsi"/>
                <w:sz w:val="20"/>
                <w:szCs w:val="20"/>
              </w:rPr>
              <w:t>- przeglądanie kalendarza innych użytkowników,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zapraszanie uczestników na spotkanie, co po ich akceptacji powoduje automatyczne wprowadzenie spotkania w ich kalendarzach,</w:t>
            </w:r>
          </w:p>
          <w:p>
            <w:pPr>
              <w:pStyle w:val="Normal"/>
              <w:widowControl w:val="false"/>
              <w:spacing w:lineRule="auto" w:line="240" w:before="0" w:after="0"/>
              <w:jc w:val="both"/>
              <w:rPr>
                <w:rFonts w:cs="Calibri" w:cstheme="minorHAnsi"/>
                <w:sz w:val="20"/>
                <w:szCs w:val="20"/>
              </w:rPr>
            </w:pPr>
            <w:r>
              <w:rPr>
                <w:rFonts w:cs="Calibri" w:cstheme="minorHAnsi"/>
                <w:sz w:val="20"/>
                <w:szCs w:val="20"/>
              </w:rPr>
              <w:t>- zarządzanie listą zadań,</w:t>
            </w:r>
          </w:p>
          <w:p>
            <w:pPr>
              <w:pStyle w:val="Normal"/>
              <w:widowControl w:val="false"/>
              <w:spacing w:lineRule="auto" w:line="240" w:before="0" w:after="0"/>
              <w:jc w:val="both"/>
              <w:rPr>
                <w:rFonts w:cs="Calibri" w:cstheme="minorHAnsi"/>
                <w:sz w:val="20"/>
                <w:szCs w:val="20"/>
              </w:rPr>
            </w:pPr>
            <w:r>
              <w:rPr>
                <w:rFonts w:cs="Calibri" w:cstheme="minorHAnsi"/>
                <w:sz w:val="20"/>
                <w:szCs w:val="20"/>
              </w:rPr>
              <w:t>- zlecanie zadań innym użytkownikom,</w:t>
            </w:r>
          </w:p>
          <w:p>
            <w:pPr>
              <w:pStyle w:val="Normal"/>
              <w:widowControl w:val="false"/>
              <w:spacing w:lineRule="auto" w:line="240" w:before="0" w:after="0"/>
              <w:jc w:val="both"/>
              <w:rPr>
                <w:rFonts w:cs="Calibri" w:cstheme="minorHAnsi"/>
                <w:sz w:val="20"/>
                <w:szCs w:val="20"/>
              </w:rPr>
            </w:pPr>
            <w:r>
              <w:rPr>
                <w:rFonts w:cs="Calibri" w:cstheme="minorHAnsi"/>
                <w:sz w:val="20"/>
                <w:szCs w:val="20"/>
              </w:rPr>
              <w:t>- zarządzanie listą kontaktów,</w:t>
            </w:r>
          </w:p>
          <w:p>
            <w:pPr>
              <w:pStyle w:val="Normal"/>
              <w:widowControl w:val="false"/>
              <w:spacing w:lineRule="auto" w:line="240" w:before="0" w:after="0"/>
              <w:jc w:val="both"/>
              <w:rPr>
                <w:rFonts w:cs="Calibri" w:cstheme="minorHAnsi"/>
                <w:sz w:val="20"/>
                <w:szCs w:val="20"/>
              </w:rPr>
            </w:pPr>
            <w:r>
              <w:rPr>
                <w:rFonts w:cs="Calibri" w:cstheme="minorHAnsi"/>
                <w:sz w:val="20"/>
                <w:szCs w:val="20"/>
              </w:rPr>
              <w:t>- udostępnianie listy kontaktów innym użytkownikom, przeglądanie listy kontaktów innych użytkowników,</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możliwość przesyłania kontaktów innym użytkowników.</w:t>
            </w:r>
          </w:p>
          <w:p>
            <w:pPr>
              <w:pStyle w:val="Normal"/>
              <w:spacing w:lineRule="auto" w:line="240" w:before="0" w:after="0"/>
              <w:jc w:val="both"/>
              <w:rPr>
                <w:rFonts w:eastAsia="Times New Roman" w:cs="Calibri" w:cstheme="minorHAnsi"/>
                <w:smallCaps/>
                <w:sz w:val="20"/>
                <w:szCs w:val="20"/>
              </w:rPr>
            </w:pPr>
            <w:r>
              <w:rPr>
                <w:rFonts w:eastAsia="Times New Roman" w:cs="Calibri" w:cstheme="minorHAnsi"/>
                <w:smallCaps/>
                <w:sz w:val="20"/>
                <w:szCs w:val="20"/>
              </w:rPr>
            </w:r>
          </w:p>
          <w:p>
            <w:pPr>
              <w:pStyle w:val="Normal"/>
              <w:spacing w:lineRule="auto" w:line="240" w:before="0" w:after="0"/>
              <w:jc w:val="both"/>
              <w:rPr>
                <w:rFonts w:eastAsia="Times New Roman" w:cs="Calibri" w:cstheme="minorHAnsi"/>
                <w:smallCaps/>
                <w:sz w:val="20"/>
                <w:szCs w:val="20"/>
              </w:rPr>
            </w:pPr>
            <w:r>
              <w:rPr>
                <w:rFonts w:eastAsia="Times New Roman" w:cs="Calibri" w:cstheme="minorHAnsi"/>
                <w:smallCaps/>
                <w:sz w:val="20"/>
                <w:szCs w:val="20"/>
              </w:rPr>
              <w:t>Inne:</w:t>
            </w:r>
          </w:p>
          <w:p>
            <w:pPr>
              <w:pStyle w:val="Normal"/>
              <w:spacing w:lineRule="auto" w:line="240" w:before="0" w:after="0"/>
              <w:jc w:val="both"/>
              <w:rPr>
                <w:rFonts w:eastAsia="Times New Roman" w:cs="Calibri" w:cstheme="minorHAnsi"/>
                <w:sz w:val="20"/>
                <w:szCs w:val="20"/>
              </w:rPr>
            </w:pPr>
            <w:r>
              <w:rPr>
                <w:rFonts w:eastAsia="Times New Roman" w:cs="Calibri" w:cstheme="minorHAnsi"/>
                <w:sz w:val="20"/>
                <w:szCs w:val="20"/>
              </w:rPr>
              <w:t>- do aplikacji dostępna jest pełna dokumentacja w języku polskim.</w:t>
            </w:r>
          </w:p>
          <w:p>
            <w:pPr>
              <w:pStyle w:val="Normal"/>
              <w:suppressAutoHyphens w:val="true"/>
              <w:spacing w:lineRule="auto" w:line="252" w:before="0" w:after="0"/>
              <w:contextualSpacing/>
              <w:textAlignment w:val="baseline"/>
              <w:rPr>
                <w:rFonts w:eastAsia="SimSun" w:cs="Calibri" w:cstheme="minorHAnsi"/>
                <w:b/>
                <w:b/>
                <w:kern w:val="2"/>
                <w:sz w:val="20"/>
                <w:szCs w:val="20"/>
              </w:rPr>
            </w:pPr>
            <w:bookmarkStart w:id="19" w:name="OLE_LINK15"/>
            <w:r>
              <w:rPr>
                <w:rFonts w:eastAsia="Times New Roman" w:cs="Calibri" w:cstheme="minorHAnsi"/>
                <w:sz w:val="20"/>
                <w:szCs w:val="20"/>
              </w:rPr>
              <w:t>- wymagana najnowsza wersja na dzień publikacji ogłoszenia o zamówieniu z bezterminową licencją na użytkowanie.</w:t>
            </w:r>
            <w:bookmarkEnd w:id="19"/>
          </w:p>
        </w:tc>
      </w:tr>
      <w:tr>
        <w:trPr>
          <w:trHeight w:val="419"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19.</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bCs/>
                <w:sz w:val="20"/>
                <w:szCs w:val="20"/>
                <w:lang w:eastAsia="pl-PL"/>
              </w:rPr>
              <w:t>Wymagania dodatkowe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Wbudowane porty: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2x DisplayPort</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1x VGA </w:t>
            </w:r>
          </w:p>
          <w:p>
            <w:pPr>
              <w:pStyle w:val="Normal"/>
              <w:spacing w:lineRule="auto" w:line="240" w:before="0" w:after="0"/>
              <w:jc w:val="both"/>
              <w:rPr>
                <w:rFonts w:eastAsia="Times New Roman" w:cs="Calibri" w:cstheme="minorHAnsi"/>
                <w:bCs/>
                <w:i/>
                <w:i/>
                <w:sz w:val="20"/>
                <w:szCs w:val="20"/>
                <w:lang w:eastAsia="pl-PL"/>
              </w:rPr>
            </w:pPr>
            <w:r>
              <w:rPr>
                <w:rFonts w:eastAsia="Times New Roman" w:cs="Calibri" w:cstheme="minorHAnsi"/>
                <w:bCs/>
                <w:sz w:val="20"/>
                <w:szCs w:val="20"/>
                <w:lang w:eastAsia="pl-PL"/>
              </w:rPr>
              <w:t>1x LAN 10/100/1000 wspierająca obsługę</w:t>
            </w:r>
            <w:r>
              <w:rPr>
                <w:rFonts w:eastAsia="Times New Roman" w:cs="Calibri" w:cstheme="minorHAnsi"/>
                <w:bCs/>
                <w:i/>
                <w:sz w:val="20"/>
                <w:szCs w:val="20"/>
                <w:lang w:eastAsia="pl-PL"/>
              </w:rPr>
              <w:t xml:space="preserve"> </w:t>
            </w:r>
            <w:r>
              <w:rPr>
                <w:rFonts w:eastAsia="Times New Roman" w:cs="Calibri" w:cstheme="minorHAnsi"/>
                <w:bCs/>
                <w:sz w:val="20"/>
                <w:szCs w:val="20"/>
                <w:lang w:eastAsia="pl-PL"/>
              </w:rPr>
              <w:t xml:space="preserve">WoL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1x M.2 WLAN (nie dopuszcza się karty WLAN na PCIe)</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Porty USB:</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Panel przedni:</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- 4x USB w układzie 3x USB TYP A (min 1 x USB 3.1) i 1x USB TYP-C 3.1</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Panel Tylny:</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- 4x USB TYP-A w tym min. 2x USB 3.1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Wymagana ilość i rozmieszczenie (na zewnątrz obudowy komputera) wszystkich portów USB TYP-A i TYP-C nie może być osiągnięta w wyniku stosowania konwerterów, przejściówek lub przewodów połączeniowych itp. Zainstalowane porty nie mogą blokować instalacji kart rozszerzeń w złączach wymaganych w opisie płyty głównej. Wszystkie wymagane porty mają być w sposób stały zintegrowane z obudową (wlutowane w laminat płyty głównej).</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Płyta główna, wyposażona w :</w:t>
            </w:r>
          </w:p>
          <w:p>
            <w:pPr>
              <w:pStyle w:val="Normal"/>
              <w:numPr>
                <w:ilvl w:val="0"/>
                <w:numId w:val="6"/>
              </w:numPr>
              <w:spacing w:lineRule="auto" w:line="240" w:before="0" w:after="0"/>
              <w:jc w:val="both"/>
              <w:rPr>
                <w:rFonts w:eastAsia="Times New Roman" w:cs="Calibri" w:cstheme="minorHAnsi"/>
                <w:bCs/>
                <w:sz w:val="20"/>
                <w:szCs w:val="20"/>
                <w:lang w:val="en-US" w:eastAsia="pl-PL"/>
              </w:rPr>
            </w:pPr>
            <w:r>
              <w:rPr>
                <w:rFonts w:eastAsia="Times New Roman" w:cs="Calibri" w:cstheme="minorHAnsi"/>
                <w:bCs/>
                <w:sz w:val="20"/>
                <w:szCs w:val="20"/>
                <w:lang w:val="en-US" w:eastAsia="pl-PL"/>
              </w:rPr>
              <w:t xml:space="preserve">1 złącze PCI Express x16 Gen.3 </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1 złącze PCI Express x1  </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4 złącza DIMM z obsługą do 64GB DDR4 pamięci RAM </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3 złącza SATA w tym 2 szt SATA 3.0 </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1 złącze M.2 2280 dedykowane dla syków M.2 SATA lub NVMe</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1 złącze M.2 WLAN</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1 konektor realizujący funkcję clear CMOS</w:t>
            </w:r>
          </w:p>
          <w:p>
            <w:pPr>
              <w:pStyle w:val="Normal"/>
              <w:numPr>
                <w:ilvl w:val="0"/>
                <w:numId w:val="6"/>
              </w:numPr>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1 konektor realizujący funkcję clear Password</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Klawiatura USB w układzie polski programisty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Mysz laserowa USB z sześcioma klawiszami oraz rolką (scroll) </w:t>
            </w:r>
          </w:p>
          <w:p>
            <w:pPr>
              <w:pStyle w:val="Normal"/>
              <w:spacing w:lineRule="auto" w:line="240" w:before="0" w:after="0"/>
              <w:jc w:val="both"/>
              <w:rPr>
                <w:rFonts w:eastAsia="Times New Roman" w:cs="Calibri" w:cstheme="minorHAnsi"/>
                <w:bCs/>
                <w:sz w:val="20"/>
                <w:szCs w:val="20"/>
                <w:lang w:eastAsia="pl-PL"/>
              </w:rPr>
            </w:pPr>
            <w:r>
              <w:rPr>
                <w:rFonts w:eastAsia="Times New Roman" w:cs="Calibri" w:cstheme="minorHAnsi"/>
                <w:bCs/>
                <w:sz w:val="20"/>
                <w:szCs w:val="20"/>
                <w:lang w:eastAsia="pl-PL"/>
              </w:rPr>
              <w:t xml:space="preserve">Nagrywarka DVD +/-RW o prędkości min. 8x </w:t>
            </w:r>
          </w:p>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bCs/>
                <w:sz w:val="20"/>
                <w:szCs w:val="20"/>
                <w:lang w:eastAsia="pl-PL"/>
              </w:rPr>
              <w:t>Dołączony nośnik ze sterownikami</w:t>
            </w:r>
          </w:p>
        </w:tc>
      </w:tr>
    </w:tbl>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20" w:name="_Toc38875174"/>
      <w:r>
        <w:rPr>
          <w:rFonts w:eastAsia="Times New Roman"/>
          <w:b/>
          <w:bCs/>
          <w:sz w:val="28"/>
          <w:szCs w:val="28"/>
        </w:rPr>
        <w:t>Monitor do zestawu komputerowego – 57 szt.</w:t>
      </w:r>
      <w:bookmarkEnd w:id="20"/>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62"/>
        <w:gridCol w:w="1745"/>
        <w:gridCol w:w="7469"/>
      </w:tblGrid>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216" w:hRule="atLeast"/>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bCs/>
                <w:sz w:val="20"/>
                <w:szCs w:val="20"/>
                <w:lang w:eastAsia="pl-PL"/>
              </w:rPr>
              <w:t>Typ ekranu</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Ekran ciekłokrystaliczny z aktywną matrycą IPS 23”</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2.</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Rozmiar plamki</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Maks. 0,265 mm x 0,265 mm</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3.</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Jasność</w:t>
            </w:r>
          </w:p>
        </w:tc>
        <w:tc>
          <w:tcPr>
            <w:tcW w:w="74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Min. 250 cd/m²</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Kontrast statyczny</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1000:1</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Kąty widzenia (pion/poziom)</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- 178° w poziomie</w:t>
            </w:r>
          </w:p>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- 178° w pionie</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Czas reakcji matrycy</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Mak. 5 ms</w:t>
            </w:r>
          </w:p>
        </w:tc>
      </w:tr>
      <w:tr>
        <w:trPr>
          <w:trHeight w:val="415" w:hRule="atLeast"/>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Rozdzielczość ekranu</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eastAsia="zh-CN" w:bidi="hi-IN"/>
              </w:rPr>
            </w:pPr>
            <w:r>
              <w:rPr>
                <w:rFonts w:eastAsia="SimSun" w:cs="Calibri" w:cstheme="minorHAnsi"/>
                <w:sz w:val="20"/>
                <w:szCs w:val="20"/>
                <w:lang w:eastAsia="zh-CN" w:bidi="hi-IN"/>
              </w:rPr>
              <w:t>Min. 1920 × 1080 przy 60 Hz</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Częstotliwość odświeżania poziomego</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30 – 83  kHz</w:t>
            </w:r>
          </w:p>
          <w:p>
            <w:pPr>
              <w:pStyle w:val="Normal"/>
              <w:spacing w:lineRule="auto" w:line="240" w:before="0" w:after="0"/>
              <w:ind w:left="430" w:hanging="0"/>
              <w:rPr>
                <w:rFonts w:eastAsia="Times New Roman" w:cs="Calibri" w:cstheme="minorHAnsi"/>
                <w:sz w:val="20"/>
                <w:szCs w:val="20"/>
                <w:lang w:eastAsia="pl-PL"/>
              </w:rPr>
            </w:pPr>
            <w:r>
              <w:rPr>
                <w:rFonts w:eastAsia="Times New Roman" w:cs="Calibri" w:cstheme="minorHAnsi"/>
                <w:sz w:val="20"/>
                <w:szCs w:val="20"/>
                <w:lang w:eastAsia="pl-PL"/>
              </w:rPr>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Częstotliwość odświeżania pionowego</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56 – 76  Hz</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Pochylenie monitora</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 zakresie 26 stopni</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Wydłużenie w pionie</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 min 130 mm</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PIVOT</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Obrót lewo/prawo</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90 stopni</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14.</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Powłoka powierzchni ekranu</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Antyodblaskowa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15.</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Podświetlenie</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System podświetlenia LED</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16.</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Zużycie energii</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Typowo: 17W</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Maksymalne: 40W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Czuwanie: mniej niż 0,5W</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17.</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Bezpieczeństwo</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Monitor musi być wyposażony dedykowany slot na linkę zabezpieczającą</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18.</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Waga</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Bez podstawy: Maks. 3,2 kg</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 podstawą: Maks. 5,5 kg</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19.</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Złącza</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val="en-US" w:eastAsia="pl-PL"/>
              </w:rPr>
              <w:t xml:space="preserve">1x HDMI (v1.4), </w:t>
            </w:r>
          </w:p>
          <w:p>
            <w:pPr>
              <w:pStyle w:val="Normal"/>
              <w:spacing w:lineRule="auto" w:line="240" w:before="0" w:after="0"/>
              <w:contextualSpacing/>
              <w:rPr>
                <w:rFonts w:eastAsia="Times New Roman" w:cs="Calibri" w:cstheme="minorHAnsi"/>
                <w:sz w:val="20"/>
                <w:szCs w:val="20"/>
                <w:lang w:val="en-US" w:eastAsia="pl-PL"/>
              </w:rPr>
            </w:pPr>
            <w:r>
              <w:rPr>
                <w:rFonts w:eastAsia="Times New Roman" w:cs="Calibri" w:cstheme="minorHAnsi"/>
                <w:sz w:val="20"/>
                <w:szCs w:val="20"/>
                <w:lang w:val="en-US" w:eastAsia="pl-PL"/>
              </w:rPr>
              <w:t>1x złącze DisplayPort (v1.2)</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2 x USB 3.0 (na bocznej ściance monitora)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1x USB 3.0 - upstream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2 x USB 2.0 (w tylnej obudowie monitora)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20.</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36 miesięcy </w:t>
            </w:r>
            <w:r>
              <w:rPr>
                <w:rFonts w:eastAsia="Times New Roman" w:cs="Calibri" w:cstheme="minorHAnsi"/>
                <w:b/>
                <w:bCs/>
                <w:sz w:val="20"/>
                <w:szCs w:val="20"/>
                <w:lang w:eastAsia="pl-PL"/>
              </w:rPr>
              <w:t>(lub dłużej zgodnie ze złożoną ofertą)</w:t>
            </w:r>
            <w:r>
              <w:rPr>
                <w:rFonts w:eastAsia="Times New Roman" w:cs="Calibri" w:cstheme="minorHAnsi"/>
                <w:sz w:val="20"/>
                <w:szCs w:val="20"/>
                <w:lang w:eastAsia="pl-PL"/>
              </w:rPr>
              <w:t xml:space="preserve"> gwarancji producenta realizowanej na miejscu u klienta.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Czas reakcji serwisu - do końca następnego dnia roboczego</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Firma serwisująca musi posiadać ISO 9001:2000 na świadczenie usług serwisowych oraz posiadać autoryzacje producenta komputera – </w:t>
            </w:r>
            <w:r>
              <w:rPr>
                <w:rFonts w:eastAsia="Times New Roman" w:cs="Calibri" w:cstheme="minorHAnsi"/>
                <w:sz w:val="20"/>
                <w:szCs w:val="20"/>
                <w:u w:val="single"/>
                <w:lang w:eastAsia="pl-PL"/>
              </w:rPr>
              <w:t>dokumenty potwierdzające załączyć do oferty</w:t>
            </w:r>
            <w:r>
              <w:rPr>
                <w:rFonts w:eastAsia="Times New Roman" w:cs="Calibri" w:cstheme="minorHAnsi"/>
                <w:sz w:val="20"/>
                <w:szCs w:val="20"/>
                <w:lang w:eastAsia="pl-PL"/>
              </w:rPr>
              <w:t>.</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Oświadczenie producenta sprzętu, że w przypadku nie wywiązywania się z obowiązków gwarancyjnych oferenta lub firmy serwisującej, przejmie na siebie wszelkie zobowiązania związane z serwisem. Gwarancja zero martwych pikseli.</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 xml:space="preserve">21. </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Certyfikaty</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ISO 13406-2 lub ISO 9241</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Monitor musi się znajdować na stronie TCO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http://tcocertified.com/product-finder/</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22.</w:t>
            </w:r>
          </w:p>
        </w:tc>
        <w:tc>
          <w:tcPr>
            <w:tcW w:w="17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Inne</w:t>
            </w:r>
          </w:p>
        </w:tc>
        <w:tc>
          <w:tcPr>
            <w:tcW w:w="74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Odłączany stand bez użycia narzędzi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VESA 100mm</w:t>
            </w:r>
          </w:p>
        </w:tc>
      </w:tr>
    </w:tbl>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21" w:name="_Toc38875175"/>
      <w:r>
        <w:rPr>
          <w:rFonts w:eastAsia="Times New Roman"/>
          <w:b/>
          <w:bCs/>
          <w:sz w:val="28"/>
          <w:szCs w:val="28"/>
        </w:rPr>
        <w:t>Filtry prywatyzujące – 25 szt.</w:t>
      </w:r>
      <w:bookmarkEnd w:id="21"/>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62"/>
        <w:gridCol w:w="1700"/>
        <w:gridCol w:w="7514"/>
      </w:tblGrid>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1.</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Typ</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Filtr prywatyzujący chroniący dane wyświetlane na ekranie monitora. </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Rodzaj</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Montowany na ekran monitora komputerowego</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3.</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Kolor</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Transparentny</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Rodzaj filtra</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Prywatyzujący</w:t>
            </w:r>
          </w:p>
        </w:tc>
      </w:tr>
      <w:tr>
        <w:trPr>
          <w:trHeight w:val="445" w:hRule="atLeast"/>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Wymiary</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Maksymalnie 509,18 mm × 286,42 mm</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Dedykowana przekątna ekranu</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23 cale – zgodny z oferowanymi monitorami do zestawu komputerowego</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Dodatkowe cechy i funkcje</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Ochrona ekranu przed kurzem i brudem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Ochrona przed zarysowaniami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Ochrona prywatnych i poufnych danych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Odporny na ścieranie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Filtr światła niebieskiego</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Powłoka antyrefleksyjna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5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12 miesięcy gwarancji </w:t>
            </w:r>
          </w:p>
        </w:tc>
      </w:tr>
    </w:tbl>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22" w:name="_Toc38875176"/>
      <w:r>
        <w:rPr>
          <w:rFonts w:eastAsia="Times New Roman"/>
          <w:b/>
          <w:bCs/>
          <w:sz w:val="28"/>
          <w:szCs w:val="28"/>
        </w:rPr>
        <w:t>Notebook (laptop) – 3 szt.</w:t>
      </w:r>
      <w:bookmarkEnd w:id="22"/>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62"/>
        <w:gridCol w:w="1700"/>
        <w:gridCol w:w="7514"/>
      </w:tblGrid>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1.</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Opis ogólny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Komputer przenośny typu laptop. Wymagane działanie wszystkich pod zespołów zestawu w zakresie parametrów nominalnych określonych przez producenta danego podzespołu. Wykluczone jest stosowanie tzw. overclockingu (podwyższenie częstotliwości taktowania procesora, karty graficznej, szyny systemowej lub jakiegokolwiek innego podzespołu zestawu ponad wartości nominalne).</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3.</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Procesor</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Procesor wielordzeniowy przeznaczony do pracy w urządzeniach mobilnych, osiągający minimum 4250 pkt. według testu PassMark – CPU Mark. Opublikowanego na stronie:  </w:t>
            </w:r>
            <w:hyperlink r:id="rId4">
              <w:r>
                <w:rPr>
                  <w:rFonts w:eastAsia="Times New Roman" w:cs="Calibri" w:cstheme="minorHAnsi"/>
                  <w:color w:val="0000FF"/>
                  <w:sz w:val="20"/>
                  <w:szCs w:val="20"/>
                  <w:u w:val="single"/>
                  <w:lang w:eastAsia="pl-PL"/>
                </w:rPr>
                <w:t>https://www.cpubenchmark.net/cpu_list.php</w:t>
              </w:r>
            </w:hyperlink>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Pamięć RAM</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Min. 8 GB, typ DDR4, montowana w slocie umożliwiającym wymianę pamięci w przyszłości.</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Płyta główna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Zaprojektowana i wyprodukowana przez producenta komputera, wyposażona w interfejs SATA III (6 Gb/s) do obsługi dysków twardych. Płyta główna i konstrukcja laptopa wspierająca konfiguracje dwu dyskową np. SSD M.2 + HDD 2,5’’.</w:t>
            </w:r>
          </w:p>
        </w:tc>
      </w:tr>
      <w:tr>
        <w:trPr>
          <w:trHeight w:val="445" w:hRule="atLeast"/>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Karta graficzna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eastAsia="zh-CN" w:bidi="hi-IN"/>
              </w:rPr>
            </w:pPr>
            <w:r>
              <w:rPr>
                <w:rFonts w:eastAsia="SimSun" w:cs="Calibri" w:cstheme="minorHAnsi"/>
                <w:sz w:val="20"/>
                <w:szCs w:val="20"/>
                <w:lang w:eastAsia="zh-CN" w:bidi="hi-IN"/>
              </w:rPr>
              <w:t>Zintegrowana z procesorem, wykorzystująca pamięć RAM systemu dynamicznie przydzielaną na potrzeby grafiki w trybie UMA.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Dysk twardy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Dysk SSD, minimum 256GB w standardzie NVMe lub równoważnym.</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Ekran</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matryca 15,6” z podświetleniem w technologii LED, powłoka antyrefleksyjna Anti-Glare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bez obsługi dotykowej</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rozdzielczość nominalna: 1920 × 1080 pikseli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Jasność co najmniej 220 nitów</w:t>
            </w:r>
          </w:p>
          <w:p>
            <w:pPr>
              <w:pStyle w:val="Normal"/>
              <w:spacing w:lineRule="auto" w:line="240" w:before="0" w:after="0"/>
              <w:contextualSpacing/>
              <w:rPr>
                <w:rFonts w:eastAsia="Times New Roman" w:cs="Calibri" w:cstheme="minorHAnsi"/>
                <w:b/>
                <w:b/>
                <w:sz w:val="20"/>
                <w:szCs w:val="20"/>
                <w:u w:val="single"/>
                <w:lang w:eastAsia="pl-PL"/>
              </w:rPr>
            </w:pPr>
            <w:r>
              <w:rPr>
                <w:rFonts w:eastAsia="Times New Roman" w:cs="Calibri" w:cstheme="minorHAnsi"/>
                <w:b/>
                <w:sz w:val="20"/>
                <w:szCs w:val="20"/>
                <w:u w:val="single"/>
                <w:lang w:eastAsia="pl-PL"/>
              </w:rPr>
              <w:t>Uwaga: Nie dopuszcza się stosowania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sz w:val="20"/>
                <w:szCs w:val="20"/>
                <w:u w:val="single"/>
                <w:lang w:eastAsia="pl-PL"/>
              </w:rPr>
              <w:t>folii samoprzylepnej w celu zmatowienia błyszczącego ekranu</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Klawiatura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Wersja amerykańska/międzynarodowa w układzie QWERTY z wydzielonym blokiem numerycznym</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Interfejsy sieciowe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Wbudowana karta sieciowa 10/100/1000 ze złączem ethernet (RJ45)</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Wbudowana bezprzewodowa karta sieciowa w standardzie min. 802.11 a/b/g/n/ac,                                  dwuczęstotliwościowa (2.4/5 GHz)</w:t>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 Wbudowany interfejs Bluetooth w standardzie min. 4.1</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Złącza video</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złącze HDMI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złącze VGA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Złącza USB</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3 złącza USB w tym min. 2 złącza w standardzie USB 3.1</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Złącze karty pamięci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Wbudowane złącze obsługujące co najmniej karty microSD</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14.</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Bezpieczeństwo</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Komputer wyposażony w moduł TPM 2.0</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Gniazdo Kensington Lock</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15.</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Napęd optyczny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Wbudowana nagrywarka DVD-RW</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16.</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Certyfikaty i standardy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Certyfikat ISO 9001 dla producenta sprzętu (należy załączyć do oferty)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Deklaracja zgodności CE (załączyć do oferty)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17.</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Waga z baterią</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Nie więcej niż 2,3 kg</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18.</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Specyfikacja baterii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Minimum 3 ogniwowa o pojemność min. 33 Wh</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19.</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Wyposażenie multimedialne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Wbudowana kamera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Wbudowane głośniki stereo. Min. 2W (RMS)</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Wbudowany mikrofon</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Złącze mikrofonu/słuchawek combo typu jack</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Touchpad wielodotykowy (gładzik)</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20.</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System operacyjny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Zainstalowany system musi spełniać następujące wymagania, poprzez wbudowane mechanizmy, bez użycia dodatkowych aplikacji: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dokonywania aktualizacji i poprawek systemu przez Internet z możliwością wyboru instalowanych poprawek;</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dokonywania uaktualnień sterowników urządzeń przez Internet – witrynę producenta systemu;</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Darmowe aktualizacje w ramach wersji systemu operacyjnego przez Internet (niezbędne aktualizacje, poprawki, biuletyny bezpieczeństwa muszą być dostarczane bez dodatkowych opłat);</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Internetowa aktualizacja zapewniona w języku polskim;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Wbudowana zapora internetowa (firewall) dla ochrony połączeń internetowych; zintegrowana z systemem konsola do zarządzania ustawieniami zapory i regułami IP v4 i v6;</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Zlokalizowane w języku polskim, co najmniej następujące elementy:  menu, odtwarzacz multimediów, pomoc, komunikaty systemowe;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Wsparcie dla większości powszechnie używanych urządzeń peryferyjnych (drukarek, urządzeń sieciowych, standardów USB, Plug &amp;Play, Wi-Fi)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Funkcjonalność automatycznej zmiany domyślnej drukarki w zależności od sieci, do której podłączony jest komputer;</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Interfejs użytkownika działający w trybie graficznym z elementami 3D,</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zintegrowana z interfejsem użytkownika interaktywna część pulpitu służącą do uruchamiania aplikacji, które użytkownik może dowolnie wymieniać i pobrać ze strony producenta.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zdalnej automatycznej instalacji, konfiguracji, administrowania oraz aktualizowania systemu;</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Zabezpieczony hasłem hierarchiczny dostęp do systemu, konta i profile użytkowników zarządzane zdalnie; praca systemu w trybie ochrony kont użytkowników.</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Zintegrowany z systemem moduł wyszukiwania informacji (plików różnego typu) dostępny z kilku poziomów: poziom menu, poziom otwartego okna systemu operacyjnego; system wyszukiwania oparty na konfigurowalnym przez użytkownika module indeksacji zasobów lokalnych.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Zintegrowane z systemem operacyjnym narzędzia zwalczające złośliwe oprogramowanie;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aktualizacje dostępne u producenta nieodpłatnie bez ograniczeń czasowych.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Funkcjonalność rozpoznawania mowy, pozwalającą na sterowanie komputerem głosowo, wraz z modułem „uczenia się” głosu użytkownika.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Zintegrowany z systemem operacyjnym moduł synchronizacji komputera z urządzeniami zewnętrznymi.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Wbudowany system pomocy w języku polskim;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przystosowania stanowiska dla osób niepełnosprawnych (np. słabo</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widzących);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zarządzania stacją roboczą poprzez polityki – przez politykę rozumiemy zestaw reguł definiujących lub ograniczających funkcjonalność systemu lub aplikacji;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Wdrażanie IPSEC oparte na politykach – wdrażanie IPSEC oparte na zestawach reguł</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definiujących ustawienia zarządzanych w sposób centralny;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Automatyczne występowanie i używanie (wystawianie) certyfikatów PKI X.509;</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Rozbudowane polityki bezpieczeństwa – polityki dla systemu operacyjnego i dla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wskazanych aplikacji;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System posiada narzędzia służące do administracji, do wykonywania kopii zapasowych polityk i ich odtwarzania oraz generowania raportów z ustawień polityk;</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Wsparcie dla Sun Java i .NET Framework 1.1 i 2.0 i 3.0 – możliwość uruchomienia aplikacji działających we wskazanych środowiskach;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Wsparcie dla JScript i VBScript – możliwość uruchamiania interpretera poleceń;</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Zdalna pomoc i współdzielenie aplikacji – możliwość zdalnego przejęcia sesji za logowanego użytkownika celem rozwiązania problemu z komputerem;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Rozwiązanie służące do automatycznego zbudowania obrazu systemu wraz z aplikacjami.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Obraz systemu służyć ma do automatycznego upowszechnienia systemu operacyjnego inicjowanego i wykonywanego w całości poprzez sieć komputerową;</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Rozwiązanie ma umożliwiające wdrożenie nowego obrazu poprzez zdalną instalację;</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Graficzne środowisko instalacji i konfiguracji;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Transakcyjny system plików pozwalający na stosowanie przydziałów (ang. quota) na dysku dla użytkowników oraz zapewniający większą niezawodność i pozwalający tworzyć kopie zapasowe;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Zarządzanie kontami użytkowników sieci oraz urządzeniami sieciowymi tj. drukarki, modemy, woluminy dyskowe, usługi katalogowe.</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Oprogramowanie dla tworzenia kopii zapasowych (Backup); automatyczne wykonywanie kopii plików z możliwością automatycznego przywrócenia wersji wcześniejszej;</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przywracania plików systemowych;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System operacyjny musi posiadać funkcjonalność pozwalającą na identyfikację sieci komputerowych, do których jest podłączony, zapamiętywanie ustawień i przypisywanie do min. 3 kategorii bezpieczeństwa (z predefiniowanymi odpowiednio do kategorii ustawieniami zapory sieciowej, udostępniania plików itp.)</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blokowania lub dopuszczania dowolnych urządzeń peryferyjnych za pomocą polityk grupowych (np. przy użyciu numerów identyfikacyjnych sprzętu).</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21.</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BIOS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BIOS zgodny ze specyfikacją UEFI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Możliwość odczytania z BIOS bez uruchamiania systemu operacyjnego z dysku twardego komputera lub innych podłączonych do niego urządzeń zewnętrznych następujących informacji: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wersji BIOS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nr seryjnym komputera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ilości pamięci RAM</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typie procesora i jego prędkości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modele zainstalowanych dysków twardych</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model zainstalowanego napędu optycznego</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22.</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Wsparcie techniczne producenta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Dedykowany numer telefonu oraz adres email dla wsparcia technicznego i informacji produktowej producenta.</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xml:space="preserve">- możliwość weryfikacji na stronie producenta konfiguracji fabrycznej zakupionego sprzętu; </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weryfikacji na stronie producenta posiadanej/wykupionej gwarancji;</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możliwość weryfikacji statusu naprawy urządzenia po podaniu unikalnego numeru seryjnego;</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 naprawy gwarancyjne  urządzeń muszą być realizowany przez Producenta lub autoryzowanego partnera serwisowego producenta.</w:t>
            </w:r>
          </w:p>
        </w:tc>
      </w:tr>
      <w:tr>
        <w:trPr/>
        <w:tc>
          <w:tcPr>
            <w:tcW w:w="5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23.</w:t>
            </w:r>
          </w:p>
        </w:tc>
        <w:tc>
          <w:tcPr>
            <w:tcW w:w="170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36 miesięcy gwarancji producenta realizowanej na miejscu u Zamawiającego z czasem reakcji do następnego dnia roboczego.</w:t>
            </w:r>
          </w:p>
        </w:tc>
      </w:tr>
    </w:tbl>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59" w:before="0" w:after="160"/>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r>
        <w:rPr>
          <w:rFonts w:eastAsia="Times New Roman"/>
          <w:b/>
          <w:bCs/>
          <w:sz w:val="28"/>
          <w:szCs w:val="28"/>
        </w:rPr>
        <w:t xml:space="preserve"> </w:t>
      </w:r>
      <w:bookmarkStart w:id="23" w:name="_Toc38875177"/>
      <w:r>
        <w:rPr>
          <w:rFonts w:eastAsia="Times New Roman"/>
          <w:b/>
          <w:bCs/>
          <w:sz w:val="28"/>
          <w:szCs w:val="28"/>
        </w:rPr>
        <w:t>Urządzenie wielofunkcyjne – 37 szt.</w:t>
      </w:r>
      <w:bookmarkEnd w:id="23"/>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71"/>
        <w:gridCol w:w="1691"/>
        <w:gridCol w:w="7514"/>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41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sz w:val="20"/>
                <w:szCs w:val="20"/>
                <w:lang w:eastAsia="pl-PL"/>
              </w:rPr>
            </w:pPr>
            <w:r>
              <w:rPr>
                <w:rFonts w:eastAsia="Times New Roman" w:cs="Calibri" w:cstheme="minorHAnsi"/>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bCs/>
                <w:sz w:val="20"/>
                <w:szCs w:val="20"/>
                <w:lang w:eastAsia="pl-PL"/>
              </w:rPr>
              <w:t>Technologia druku</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Technologia laserowa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sz w:val="20"/>
                <w:szCs w:val="20"/>
                <w:lang w:eastAsia="pl-PL"/>
              </w:rPr>
            </w:pPr>
            <w:r>
              <w:rPr>
                <w:rFonts w:eastAsia="Times New Roman" w:cs="Calibri" w:cstheme="minorHAnsi"/>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Funkcje standardowe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kopiarka, drukarka sieciowa, kolorowy skaner sieciowy</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sz w:val="20"/>
                <w:szCs w:val="20"/>
                <w:lang w:eastAsia="pl-PL"/>
              </w:rPr>
            </w:pPr>
            <w:r>
              <w:rPr>
                <w:rFonts w:eastAsia="Times New Roman" w:cs="Calibri" w:cstheme="minorHAnsi"/>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Format oryginału</w:t>
            </w:r>
          </w:p>
        </w:tc>
        <w:tc>
          <w:tcPr>
            <w:tcW w:w="75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A4</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Format kopii</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A4-A6</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Prędkość druku</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40 stron A4</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Rozdzielczość drukowania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600x600 dpi i 1200 x 1200 dpi</w:t>
            </w:r>
          </w:p>
        </w:tc>
      </w:tr>
      <w:tr>
        <w:trPr>
          <w:trHeight w:val="403"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Czas wydruku pierwszej strony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eastAsia="zh-CN" w:bidi="hi-IN"/>
              </w:rPr>
            </w:pPr>
            <w:r>
              <w:rPr>
                <w:rFonts w:eastAsia="SimSun" w:cs="Calibri" w:cstheme="minorHAnsi"/>
                <w:sz w:val="20"/>
                <w:szCs w:val="20"/>
                <w:lang w:eastAsia="zh-CN" w:bidi="hi-IN"/>
              </w:rPr>
              <w:t>maks. 7 sek.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Czas nagrzewania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maks. 20 sek.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Kopiowanie wielokrotne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1- 999 kopii</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Procesor</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800 MHz</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Pamięć RAM</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512 MB (możliwość rozbudowy do min. 1536 MB)</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Zoom</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25-400%</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Panel operatora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Wyposażony w ekran LCD,  opisy na panelu oraz  komunikaty na ekranie w języku polskim lub angielskim</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Podajnik papieru</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1 kaseta na 250 ark. A5-A4 (80 g/m2), 60-160 g/m2;</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taca uniwersalna na 50 ark. A6-A4 (80 g/m2), 60-220 g/m2</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Podajnik dokumentów</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automatyczny, dwustronny - jednoprzebiegowy, na min. 50 ark. (80 g/m2), w standardzie</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Dupleks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Automatyczny, w standardzie</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Taca odbiorcza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100 arkuszy A4, 80 g/m</w:t>
            </w:r>
            <w:r>
              <w:rPr>
                <w:rFonts w:eastAsia="Times New Roman" w:cs="Calibri" w:cstheme="minorHAnsi"/>
                <w:sz w:val="20"/>
                <w:szCs w:val="20"/>
                <w:vertAlign w:val="superscript"/>
                <w:lang w:eastAsia="pl-PL"/>
              </w:rPr>
              <w:t>2</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Interfejs komunikacyjny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USB 2.0,  Ethernet 10/100/1000Base-T, USB dla pamięci przenośnej, gniazdo karty SD</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Funkcja skanowania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skanowanie do e-mail, do FTP,  do-SMB, TWAIN, WSD, do pamięci przenośnej USB</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Rozdzielczość skanowania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600 dpi</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Prędkość skanowania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 xml:space="preserve">W trybie mono: 40 obrazów/min. (A4, 300 dpi), </w:t>
            </w:r>
          </w:p>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W trybie kolorowym: 20 obrazów/ min. (A4, 300 dpi)</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Typy plików</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sz w:val="20"/>
                <w:szCs w:val="20"/>
                <w:lang w:val="en-US" w:eastAsia="pl-PL"/>
              </w:rPr>
            </w:pPr>
            <w:r>
              <w:rPr>
                <w:rFonts w:eastAsia="Times New Roman" w:cs="Calibri" w:cstheme="minorHAnsi"/>
                <w:sz w:val="20"/>
                <w:szCs w:val="20"/>
                <w:lang w:val="en-US" w:eastAsia="pl-PL"/>
              </w:rPr>
              <w:t>PDF, JPEG, TIFF, XPS</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 xml:space="preserve">Materiały eksploatacyjne jako wyposażenie standardowe </w:t>
            </w:r>
          </w:p>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rPr>
            </w:pPr>
            <w:r>
              <w:rPr>
                <w:rFonts w:eastAsia="Times New Roman" w:cs="Calibri" w:cstheme="minorHAnsi"/>
                <w:b/>
                <w:sz w:val="20"/>
                <w:szCs w:val="20"/>
              </w:rPr>
              <w:t>Tonery</w:t>
            </w:r>
            <w:r>
              <w:rPr>
                <w:rFonts w:eastAsia="Times New Roman" w:cs="Calibri" w:cstheme="minorHAnsi"/>
                <w:sz w:val="20"/>
                <w:szCs w:val="20"/>
              </w:rPr>
              <w:t xml:space="preserve"> - właściwa ilość, która zapewni wydrukowanie minimum 3 500 stron A4 przy pokryciu zgodnie z ISO19752. </w:t>
            </w:r>
          </w:p>
          <w:p>
            <w:pPr>
              <w:pStyle w:val="Normal"/>
              <w:spacing w:lineRule="auto" w:line="240" w:before="0" w:after="0"/>
              <w:jc w:val="both"/>
              <w:rPr>
                <w:rFonts w:eastAsia="Times New Roman" w:cs="Calibri" w:cstheme="minorHAnsi"/>
                <w:b/>
                <w:b/>
                <w:sz w:val="20"/>
                <w:szCs w:val="20"/>
                <w:lang w:eastAsia="pl-PL"/>
              </w:rPr>
            </w:pPr>
            <w:r>
              <w:rPr>
                <w:rFonts w:eastAsia="Times New Roman" w:cs="Calibri" w:cstheme="minorHAnsi"/>
                <w:b/>
                <w:sz w:val="20"/>
                <w:szCs w:val="20"/>
              </w:rPr>
              <w:t>Bębny</w:t>
            </w:r>
            <w:r>
              <w:rPr>
                <w:rFonts w:eastAsia="Times New Roman" w:cs="Calibri" w:cstheme="minorHAnsi"/>
                <w:sz w:val="20"/>
                <w:szCs w:val="20"/>
              </w:rPr>
              <w:t xml:space="preserve"> -  właściwa ilość, która zapewni wydrukowanie minimum 100 000 stron A4. Dostarczone materiały muszą być nowe i nieużywane, pierwszej kategorii oraz wyprodukowane przez producenta oferowanych urządzeń.</w:t>
            </w:r>
            <w:r>
              <w:rPr>
                <w:rFonts w:eastAsia="Times New Roman" w:cs="Calibri" w:cstheme="minorHAnsi"/>
                <w:b/>
                <w:sz w:val="20"/>
                <w:szCs w:val="20"/>
                <w:lang w:eastAsia="pl-PL"/>
              </w:rPr>
              <w:t xml:space="preserve"> </w:t>
            </w:r>
          </w:p>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b/>
                <w:sz w:val="20"/>
                <w:szCs w:val="20"/>
                <w:lang w:eastAsia="pl-PL"/>
              </w:rPr>
              <w:t>(dostarczone w komplecie w ramach oferowanej ceny jednostkowej).</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Certyfikaty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rPr>
            </w:pPr>
            <w:r>
              <w:rPr>
                <w:rFonts w:eastAsia="Times New Roman" w:cs="Calibri" w:cstheme="minorHAnsi"/>
                <w:sz w:val="20"/>
                <w:szCs w:val="20"/>
              </w:rPr>
              <w:t>- Deklaracja zgodności CE</w:t>
            </w:r>
          </w:p>
          <w:p>
            <w:pPr>
              <w:pStyle w:val="Normal"/>
              <w:spacing w:lineRule="auto" w:line="240" w:before="0" w:after="0"/>
              <w:rPr>
                <w:rFonts w:eastAsia="Times New Roman" w:cs="Calibri" w:cstheme="minorHAnsi"/>
                <w:sz w:val="20"/>
                <w:szCs w:val="20"/>
              </w:rPr>
            </w:pPr>
            <w:r>
              <w:rPr>
                <w:rFonts w:eastAsia="Times New Roman" w:cs="Calibri" w:cstheme="minorHAnsi"/>
                <w:sz w:val="20"/>
                <w:szCs w:val="20"/>
              </w:rPr>
              <w:t>- ISO 9001</w:t>
            </w:r>
          </w:p>
          <w:p>
            <w:pPr>
              <w:pStyle w:val="Normal"/>
              <w:spacing w:lineRule="auto" w:line="240" w:before="0" w:after="0"/>
              <w:rPr>
                <w:rFonts w:eastAsia="Times New Roman" w:cs="Calibri" w:cstheme="minorHAnsi"/>
                <w:sz w:val="20"/>
                <w:szCs w:val="20"/>
              </w:rPr>
            </w:pPr>
            <w:r>
              <w:rPr>
                <w:rFonts w:eastAsia="Times New Roman" w:cs="Calibri" w:cstheme="minorHAnsi"/>
                <w:sz w:val="20"/>
                <w:szCs w:val="20"/>
              </w:rPr>
              <w:t>- ISO 14001</w:t>
            </w:r>
          </w:p>
          <w:p>
            <w:pPr>
              <w:pStyle w:val="Normal"/>
              <w:spacing w:lineRule="auto" w:line="240" w:before="0" w:after="0"/>
              <w:rPr>
                <w:rFonts w:eastAsia="Times New Roman" w:cs="Calibri" w:cstheme="minorHAnsi"/>
                <w:sz w:val="20"/>
                <w:szCs w:val="20"/>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numPr>
                <w:ilvl w:val="0"/>
                <w:numId w:val="5"/>
              </w:numPr>
              <w:spacing w:lineRule="auto" w:line="240" w:before="0" w:after="0"/>
              <w:ind w:left="0" w:hanging="0"/>
              <w:rPr>
                <w:rFonts w:eastAsia="Times New Roman" w:cs="Calibri" w:cstheme="minorHAnsi"/>
                <w:b/>
                <w:b/>
                <w:sz w:val="20"/>
                <w:szCs w:val="20"/>
                <w:lang w:eastAsia="pl-PL"/>
              </w:rPr>
            </w:pPr>
            <w:r>
              <w:rPr>
                <w:rFonts w:eastAsia="Times New Roman" w:cs="Calibri" w:cstheme="minorHAnsi"/>
                <w:b/>
                <w:sz w:val="20"/>
                <w:szCs w:val="20"/>
                <w:lang w:eastAsia="pl-PL"/>
              </w:rPr>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Minimum 36 miesięcy gwarancji.</w:t>
            </w:r>
          </w:p>
          <w:p>
            <w:pPr>
              <w:pStyle w:val="Normal"/>
              <w:spacing w:lineRule="auto" w:line="240" w:before="0" w:after="0"/>
              <w:jc w:val="both"/>
              <w:rPr>
                <w:rFonts w:eastAsia="Times New Roman" w:cs="Calibri" w:cstheme="minorHAnsi"/>
                <w:sz w:val="20"/>
                <w:szCs w:val="20"/>
                <w:lang w:eastAsia="pl-PL"/>
              </w:rPr>
            </w:pPr>
            <w:bookmarkStart w:id="24" w:name="_Hlk38436653"/>
            <w:r>
              <w:rPr>
                <w:rFonts w:eastAsia="Times New Roman" w:cs="Calibri" w:cstheme="minorHAnsi"/>
                <w:sz w:val="20"/>
                <w:szCs w:val="20"/>
                <w:lang w:eastAsia="pl-PL"/>
              </w:rPr>
              <w:t>Firma serwisująca musi posiadać ISO 9001:2000 na świadczenie usług serwisowych oraz posiadać autoryzacje producenta urządzenia</w:t>
            </w:r>
            <w:bookmarkEnd w:id="24"/>
            <w:r>
              <w:rPr>
                <w:rFonts w:eastAsia="Times New Roman" w:cs="Calibri" w:cstheme="minorHAnsi"/>
                <w:sz w:val="20"/>
                <w:szCs w:val="20"/>
                <w:lang w:eastAsia="pl-PL"/>
              </w:rPr>
              <w:t>.</w:t>
            </w:r>
          </w:p>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b/>
                <w:bCs/>
                <w:color w:val="000000" w:themeColor="text1"/>
                <w:sz w:val="20"/>
                <w:szCs w:val="20"/>
                <w:u w:val="single"/>
                <w:lang w:eastAsia="pl-PL"/>
              </w:rPr>
              <w:t>Dokumenty potwierdzające spełnienie powyższych wymagań załączyć na wezwanie Zamawiającego zgodnie z art. 26 ust. 1 ustawy prawo zamówień publicznych.</w:t>
            </w:r>
          </w:p>
        </w:tc>
      </w:tr>
    </w:tbl>
    <w:p>
      <w:pPr>
        <w:pStyle w:val="Normal"/>
        <w:spacing w:lineRule="auto" w:line="259" w:before="0" w:after="160"/>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bookmarkStart w:id="25" w:name="_Toc38875178"/>
      <w:r>
        <w:rPr>
          <w:rFonts w:eastAsia="Times New Roman"/>
          <w:b/>
          <w:bCs/>
          <w:sz w:val="28"/>
          <w:szCs w:val="28"/>
        </w:rPr>
        <w:t>Skaner – 2 szt.</w:t>
      </w:r>
      <w:bookmarkEnd w:id="25"/>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71"/>
        <w:gridCol w:w="1691"/>
        <w:gridCol w:w="7514"/>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233"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bCs/>
                <w:sz w:val="20"/>
                <w:szCs w:val="20"/>
                <w:lang w:eastAsia="pl-PL"/>
              </w:rPr>
              <w:t>Typ skanera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Biurowy skaner z automatycznym podajnikiem dokumentów</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Technologia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CIS</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Automatyczny podajnik</w:t>
            </w:r>
          </w:p>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dokumentów</w:t>
            </w:r>
          </w:p>
        </w:tc>
        <w:tc>
          <w:tcPr>
            <w:tcW w:w="75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Skanowanie jednostronne oraz dwustronne (duplex</w:t>
            </w:r>
          </w:p>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jednoprzebiegowy)</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Obciążenie miesięczne podawane przez producenta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60 000 stron</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Format skanowanych dokumentów</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b/>
                <w:b/>
                <w:sz w:val="20"/>
                <w:szCs w:val="20"/>
                <w:lang w:eastAsia="pl-PL"/>
              </w:rPr>
            </w:pPr>
            <w:r>
              <w:rPr>
                <w:rFonts w:eastAsia="Times New Roman" w:cs="Calibri" w:cstheme="minorHAnsi"/>
                <w:sz w:val="20"/>
                <w:szCs w:val="20"/>
                <w:lang w:eastAsia="pl-PL"/>
              </w:rPr>
              <w:t>A4</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Rozdzielczość skanowania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600x600 dpi</w:t>
            </w:r>
          </w:p>
        </w:tc>
      </w:tr>
      <w:tr>
        <w:trPr>
          <w:trHeight w:val="718"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Pojemność automatycznego podajnika dokumentów</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val="en-US" w:eastAsia="zh-CN" w:bidi="hi-IN"/>
              </w:rPr>
            </w:pPr>
            <w:r>
              <w:rPr>
                <w:rFonts w:eastAsia="SimSun" w:cs="Calibri" w:cstheme="minorHAnsi"/>
                <w:sz w:val="20"/>
                <w:szCs w:val="20"/>
                <w:lang w:val="en-US" w:eastAsia="zh-CN" w:bidi="hi-IN"/>
              </w:rPr>
              <w:t>Min. 50 arkuszy A4</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Interfejsy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val="en-US" w:eastAsia="pl-PL"/>
              </w:rPr>
            </w:pPr>
            <w:r>
              <w:rPr>
                <w:rFonts w:eastAsia="Times New Roman" w:cs="Calibri" w:cstheme="minorHAnsi"/>
                <w:sz w:val="20"/>
                <w:szCs w:val="20"/>
                <w:lang w:val="en-US" w:eastAsia="pl-PL"/>
              </w:rPr>
              <w:t>- USB 2.0</w:t>
            </w:r>
          </w:p>
          <w:p>
            <w:pPr>
              <w:pStyle w:val="Normal"/>
              <w:spacing w:lineRule="auto" w:line="240" w:before="0" w:after="0"/>
              <w:rPr>
                <w:rFonts w:eastAsia="Times New Roman" w:cs="Calibri" w:cstheme="minorHAnsi"/>
                <w:sz w:val="20"/>
                <w:szCs w:val="20"/>
                <w:lang w:val="en-US" w:eastAsia="pl-PL"/>
              </w:rPr>
            </w:pPr>
            <w:r>
              <w:rPr>
                <w:rFonts w:eastAsia="Times New Roman" w:cs="Calibri" w:cstheme="minorHAnsi"/>
                <w:sz w:val="20"/>
                <w:szCs w:val="20"/>
                <w:lang w:val="en-US" w:eastAsia="pl-PL"/>
              </w:rPr>
              <w:t>- USB Host</w:t>
            </w:r>
          </w:p>
          <w:p>
            <w:pPr>
              <w:pStyle w:val="Normal"/>
              <w:spacing w:lineRule="auto" w:line="240" w:before="0" w:after="0"/>
              <w:rPr>
                <w:rFonts w:eastAsia="Times New Roman" w:cs="Calibri" w:cstheme="minorHAnsi"/>
                <w:sz w:val="20"/>
                <w:szCs w:val="20"/>
                <w:lang w:val="en-US" w:eastAsia="pl-PL"/>
              </w:rPr>
            </w:pPr>
            <w:r>
              <w:rPr>
                <w:rFonts w:eastAsia="Times New Roman" w:cs="Calibri" w:cstheme="minorHAnsi"/>
                <w:sz w:val="20"/>
                <w:szCs w:val="20"/>
                <w:lang w:val="en-US" w:eastAsia="pl-PL"/>
              </w:rPr>
              <w:t>- Gigabit Ethernet (RJ45)</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Protokoły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TWAIN, WIA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Czujnik podawania wielu arkuszy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 ultradźwiękowy</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Wyjściowe formaty plików</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PDF (jednostronicowy, wielostronicowy, archiwalny,</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przeszukiwalny, zabezpieczony, podpisany), JPEG, TIFF</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(jednostronicowy, wielostronicowy), XPS</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Skanowanie do</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Skanowanie do pamięci USB, poczty e-mail, OCR, obrazu</w:t>
            </w:r>
          </w:p>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i pliku</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Prędkość skanowania A4 - kolor i mono</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40 str./min</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14.</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Dodatkowe funkcje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Pomijanie pustej strony, automatyczne prostowanie, skanowanie kart plastikowych, automatyczne obracanie obrazu, usuwanie śladów dziurkacza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15.</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Wyposażenie</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Komplet kabli połączeniowych oraz nośnik ze sterownikami i oprogramowaniem</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16.</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Certyfikaty</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Energy Star</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17.</w:t>
            </w:r>
          </w:p>
        </w:tc>
        <w:tc>
          <w:tcPr>
            <w:tcW w:w="169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51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Minimum 24 miesiące gwarancji producenta.</w:t>
            </w:r>
          </w:p>
        </w:tc>
      </w:tr>
    </w:tbl>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keepNext w:val="true"/>
        <w:keepLines/>
        <w:numPr>
          <w:ilvl w:val="1"/>
          <w:numId w:val="3"/>
        </w:numPr>
        <w:tabs>
          <w:tab w:val="clear" w:pos="708"/>
          <w:tab w:val="left" w:pos="360" w:leader="none"/>
        </w:tabs>
        <w:spacing w:lineRule="auto" w:line="360" w:before="240" w:after="240"/>
        <w:ind w:left="0" w:hanging="0"/>
        <w:outlineLvl w:val="1"/>
        <w:rPr>
          <w:rFonts w:eastAsia="Times New Roman"/>
          <w:b/>
          <w:b/>
          <w:bCs/>
          <w:sz w:val="28"/>
          <w:szCs w:val="28"/>
        </w:rPr>
      </w:pPr>
      <w:bookmarkStart w:id="26" w:name="_Toc38875179"/>
      <w:r>
        <w:rPr>
          <w:rFonts w:eastAsia="Times New Roman"/>
          <w:b/>
          <w:bCs/>
          <w:sz w:val="28"/>
          <w:szCs w:val="28"/>
        </w:rPr>
        <w:t>Drukarka kodów kreskowych – 4 szt.</w:t>
      </w:r>
      <w:bookmarkEnd w:id="26"/>
    </w:p>
    <w:tbl>
      <w:tblPr>
        <w:tblW w:w="9776" w:type="dxa"/>
        <w:jc w:val="left"/>
        <w:tblInd w:w="0" w:type="dxa"/>
        <w:tblCellMar>
          <w:top w:w="0" w:type="dxa"/>
          <w:left w:w="108" w:type="dxa"/>
          <w:bottom w:w="0" w:type="dxa"/>
          <w:right w:w="108" w:type="dxa"/>
        </w:tblCellMar>
        <w:tblLook w:firstRow="1" w:noVBand="0" w:lastRow="1" w:firstColumn="1" w:lastColumn="1" w:noHBand="0" w:val="01e0"/>
      </w:tblPr>
      <w:tblGrid>
        <w:gridCol w:w="571"/>
        <w:gridCol w:w="1832"/>
        <w:gridCol w:w="7373"/>
      </w:tblGrid>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Lp.</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Opis</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eastAsia="Times New Roman" w:cs="Calibri" w:cstheme="minorHAnsi"/>
                <w:b/>
                <w:b/>
                <w:sz w:val="20"/>
                <w:szCs w:val="20"/>
                <w:lang w:eastAsia="pl-PL"/>
              </w:rPr>
            </w:pPr>
            <w:r>
              <w:rPr>
                <w:rFonts w:eastAsia="Times New Roman" w:cs="Calibri" w:cstheme="minorHAnsi"/>
                <w:b/>
                <w:sz w:val="20"/>
                <w:szCs w:val="20"/>
                <w:lang w:eastAsia="pl-PL"/>
              </w:rPr>
              <w:t>Minimalne wymagania</w:t>
            </w:r>
          </w:p>
        </w:tc>
      </w:tr>
      <w:tr>
        <w:trPr>
          <w:trHeight w:val="416"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bCs/>
                <w:sz w:val="20"/>
                <w:szCs w:val="20"/>
                <w:lang w:eastAsia="pl-PL"/>
              </w:rPr>
              <w:t>Typ urządzenia</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Drukarka etykiet</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2.</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Technologia wydruku</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Termiczna</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3.</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b/>
                <w:sz w:val="20"/>
                <w:szCs w:val="20"/>
                <w:lang w:eastAsia="pl-PL"/>
              </w:rPr>
              <w:t>Obsługa nośników</w:t>
            </w:r>
          </w:p>
        </w:tc>
        <w:tc>
          <w:tcPr>
            <w:tcW w:w="73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eastAsia="Times New Roman" w:cs="Calibri" w:cstheme="minorHAnsi"/>
                <w:sz w:val="20"/>
                <w:szCs w:val="20"/>
                <w:lang w:eastAsia="pl-PL"/>
              </w:rPr>
            </w:pPr>
            <w:r>
              <w:rPr>
                <w:rFonts w:eastAsia="Times New Roman" w:cs="Calibri" w:cstheme="minorHAnsi"/>
                <w:sz w:val="20"/>
                <w:szCs w:val="20"/>
                <w:lang w:eastAsia="pl-PL"/>
              </w:rPr>
              <w:t>szerokości do 103 mm</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4.</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Rozdzielczość druku</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300x300</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5.</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Szybkość wydruku</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110 mm/s</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6.</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Długość etykiety</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Maks. 991 mm</w:t>
            </w:r>
          </w:p>
        </w:tc>
      </w:tr>
      <w:tr>
        <w:trPr>
          <w:trHeight w:val="718"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7.</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Możliwość drukowania jedno i dwuwymiarowych kodów kreskowych</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SimSun" w:cs="Calibri" w:cstheme="minorHAnsi"/>
                <w:sz w:val="20"/>
                <w:szCs w:val="20"/>
                <w:lang w:val="en-US" w:eastAsia="zh-CN" w:bidi="hi-IN"/>
              </w:rPr>
            </w:pPr>
            <w:r>
              <w:rPr>
                <w:rFonts w:eastAsia="SimSun" w:cs="Calibri" w:cstheme="minorHAnsi"/>
                <w:sz w:val="20"/>
                <w:szCs w:val="20"/>
                <w:lang w:val="en-US" w:eastAsia="zh-CN" w:bidi="hi-IN"/>
              </w:rPr>
              <w:t>Tak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8.</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USB host</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t>Tak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9.</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Automatyczny nóż obcinający</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Tak</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10.</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Waga</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poniżej 3kg</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11.</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Oprogramowanie</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Dołączone oprogramowanie producenta pozwalające tworzyć etykiety w zakresie wyboru: czcionek, wielkości tekstu, rozmiaru papieru</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12.</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Interfejs</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USB</w:t>
            </w:r>
          </w:p>
        </w:tc>
      </w:tr>
      <w:tr>
        <w:trPr/>
        <w:tc>
          <w:tcPr>
            <w:tcW w:w="5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13.</w:t>
            </w:r>
          </w:p>
        </w:tc>
        <w:tc>
          <w:tcPr>
            <w:tcW w:w="18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t>Gwarancja</w:t>
            </w:r>
          </w:p>
        </w:tc>
        <w:tc>
          <w:tcPr>
            <w:tcW w:w="73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contextualSpacing/>
              <w:rPr>
                <w:rFonts w:eastAsia="Times New Roman" w:cs="Calibri" w:cstheme="minorHAnsi"/>
                <w:sz w:val="20"/>
                <w:szCs w:val="20"/>
                <w:lang w:eastAsia="pl-PL"/>
              </w:rPr>
            </w:pPr>
            <w:r>
              <w:rPr>
                <w:rFonts w:eastAsia="Times New Roman" w:cs="Calibri" w:cstheme="minorHAnsi"/>
                <w:sz w:val="20"/>
                <w:szCs w:val="20"/>
                <w:lang w:eastAsia="pl-PL"/>
              </w:rPr>
              <w:t>Min. 36 miesięcy gwarancji producenta</w:t>
            </w:r>
          </w:p>
        </w:tc>
      </w:tr>
    </w:tbl>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spacing w:lineRule="auto" w:line="240" w:before="0" w:after="0"/>
        <w:rPr>
          <w:rFonts w:eastAsia="Times New Roman" w:cs="Calibri" w:cstheme="minorHAnsi"/>
          <w:b/>
          <w:b/>
          <w:sz w:val="20"/>
          <w:szCs w:val="20"/>
          <w:lang w:eastAsia="pl-PL"/>
        </w:rPr>
      </w:pPr>
      <w:r>
        <w:rPr>
          <w:rFonts w:eastAsia="Times New Roman" w:cs="Calibri" w:cstheme="minorHAnsi"/>
          <w:b/>
          <w:sz w:val="20"/>
          <w:szCs w:val="20"/>
          <w:lang w:eastAsia="pl-PL"/>
        </w:rPr>
      </w:r>
    </w:p>
    <w:p>
      <w:pPr>
        <w:pStyle w:val="Normal"/>
        <w:spacing w:lineRule="auto" w:line="240" w:before="0" w:after="0"/>
        <w:jc w:val="both"/>
        <w:rPr>
          <w:rFonts w:eastAsia="Times New Roman" w:cs="Calibri" w:cstheme="minorHAnsi"/>
          <w:sz w:val="20"/>
          <w:szCs w:val="20"/>
          <w:lang w:eastAsia="pl-PL"/>
        </w:rPr>
      </w:pPr>
      <w:r>
        <w:rPr>
          <w:rFonts w:eastAsia="Times New Roman" w:cs="Calibri" w:cstheme="minorHAnsi"/>
          <w:b/>
          <w:sz w:val="20"/>
          <w:szCs w:val="20"/>
          <w:lang w:eastAsia="pl-PL"/>
        </w:rPr>
        <w:t>Uwaga: W przypadku odwołania się przez Zamawiającego w Opisie przedmiotu zamówienia do znaku towarowego, patentu, źródła pochodzenia, przyjmuje się, że Zamawiający wskazał wyłącznie na wymagane parametry, jakość, funkcjonalność i w tym zakresie Wykonawcy mogą oferować usługi i dostawy o równoważnych parametrach (Podstawa prawna: art. 29 ust. 3 ustawy Pzp). W przypadku złożenia oferty o parametrach równoważnych, Wykonawca zobowiązany jest złożyć oświadczenie, że oferta jest równoważna z rozwiązaniami przyjętymi w opisie przedmiotu zamówienia. Wykonawca musi dołączyć dokumenty potwierdzające równoważność rozwiązań.</w:t>
      </w:r>
      <w:bookmarkStart w:id="27" w:name="_Hlk38312661"/>
      <w:bookmarkEnd w:id="27"/>
    </w:p>
    <w:p>
      <w:pPr>
        <w:pStyle w:val="Normal"/>
        <w:spacing w:lineRule="auto" w:line="240" w:before="0" w:after="0"/>
        <w:rPr>
          <w:rFonts w:eastAsia="Times New Roman" w:cs="Calibri" w:cstheme="minorHAnsi"/>
          <w:sz w:val="20"/>
          <w:szCs w:val="20"/>
          <w:lang w:eastAsia="pl-PL"/>
        </w:rPr>
      </w:pPr>
      <w:r>
        <w:rPr>
          <w:rFonts w:eastAsia="Times New Roman" w:cs="Calibri" w:cstheme="minorHAnsi"/>
          <w:sz w:val="20"/>
          <w:szCs w:val="20"/>
          <w:lang w:eastAsia="pl-PL"/>
        </w:rPr>
      </w:r>
    </w:p>
    <w:p>
      <w:pPr>
        <w:pStyle w:val="Normal"/>
        <w:widowControl/>
        <w:bidi w:val="0"/>
        <w:spacing w:lineRule="auto" w:line="276" w:before="0" w:after="200"/>
        <w:jc w:val="left"/>
        <w:rPr/>
      </w:pPr>
      <w:r>
        <w:rPr/>
      </w:r>
    </w:p>
    <w:sectPr>
      <w:headerReference w:type="default" r:id="rId5"/>
      <w:footerReference w:type="default" r:id="rId6"/>
      <w:type w:val="nextPage"/>
      <w:pgSz w:w="11906" w:h="16838"/>
      <w:pgMar w:left="1247" w:right="1247" w:header="284" w:top="1418" w:footer="816" w:bottom="1418"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Arial Unicode MS">
    <w:charset w:val="ee"/>
    <w:family w:val="roman"/>
    <w:pitch w:val="variable"/>
  </w:font>
  <w:font w:name="Times New Roman">
    <w:charset w:val="ee"/>
    <w:family w:val="roman"/>
    <w:pitch w:val="variable"/>
  </w:font>
  <w:font w:name="Segoe UI">
    <w:charset w:val="ee"/>
    <w:family w:val="roman"/>
    <w:pitch w:val="variable"/>
  </w:font>
  <w:font w:name="ArialMT">
    <w:charset w:val="ee"/>
    <w:family w:val="roman"/>
    <w:pitch w:val="variable"/>
  </w:font>
  <w:font w:name="Liberation Sans">
    <w:altName w:val="Arial"/>
    <w:charset w:val="ee"/>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1" w:color="00000A"/>
      </w:pBdr>
      <w:spacing w:before="0" w:after="200"/>
      <w:jc w:val="center"/>
      <w:rPr>
        <w:rFonts w:cs="Microsoft Sans Serif"/>
        <w:sz w:val="16"/>
        <w:szCs w:val="16"/>
      </w:rPr>
    </w:pPr>
    <w:r>
      <mc:AlternateContent>
        <mc:Choice Requires="wps">
          <w:drawing>
            <wp:anchor behindDoc="1" distT="45720" distB="45720" distL="114300" distR="114300" simplePos="0" locked="0" layoutInCell="1" allowOverlap="1" relativeHeight="30" wp14:anchorId="1964CE46">
              <wp:simplePos x="0" y="0"/>
              <wp:positionH relativeFrom="margin">
                <wp:posOffset>2546350</wp:posOffset>
              </wp:positionH>
              <wp:positionV relativeFrom="paragraph">
                <wp:posOffset>207645</wp:posOffset>
              </wp:positionV>
              <wp:extent cx="915035" cy="245110"/>
              <wp:effectExtent l="0" t="0" r="19050" b="22225"/>
              <wp:wrapSquare wrapText="bothSides"/>
              <wp:docPr id="2" name="Pole tekstowe 2"/>
              <a:graphic xmlns:a="http://schemas.openxmlformats.org/drawingml/2006/main">
                <a:graphicData uri="http://schemas.microsoft.com/office/word/2010/wordprocessingShape">
                  <wps:wsp>
                    <wps:cNvSpPr/>
                    <wps:spPr>
                      <a:xfrm>
                        <a:off x="0" y="0"/>
                        <a:ext cx="914400" cy="244440"/>
                      </a:xfrm>
                      <a:prstGeom prst="rect">
                        <a:avLst/>
                      </a:prstGeom>
                      <a:solidFill>
                        <a:srgbClr val="ffffff"/>
                      </a:solidFill>
                      <a:ln w="9360">
                        <a:solidFill>
                          <a:schemeClr val="bg1"/>
                        </a:solidFill>
                        <a:miter/>
                      </a:ln>
                    </wps:spPr>
                    <wps:style>
                      <a:lnRef idx="0"/>
                      <a:fillRef idx="0"/>
                      <a:effectRef idx="0"/>
                      <a:fontRef idx="minor"/>
                    </wps:style>
                    <wps:txbx>
                      <w:txbxContent>
                        <w:p>
                          <w:pPr>
                            <w:pStyle w:val="Stopka"/>
                            <w:rPr>
                              <w:color w:val="000000"/>
                            </w:rPr>
                          </w:pPr>
                          <w:r>
                            <w:rPr>
                              <w:rFonts w:cs="Calibri"/>
                              <w:color w:val="000000"/>
                              <w:sz w:val="16"/>
                              <w:szCs w:val="16"/>
                            </w:rPr>
                            <w:t xml:space="preserve">Strona </w:t>
                          </w:r>
                          <w:r>
                            <w:rPr>
                              <w:color w:val="000000"/>
                            </w:rPr>
                            <w:fldChar w:fldCharType="begin"/>
                          </w:r>
                          <w:r>
                            <w:rPr>
                              <w:color w:val="000000"/>
                            </w:rPr>
                            <w:instrText> PAGE </w:instrText>
                          </w:r>
                          <w:r>
                            <w:rPr>
                              <w:color w:val="000000"/>
                            </w:rPr>
                            <w:fldChar w:fldCharType="separate"/>
                          </w:r>
                          <w:r>
                            <w:rPr>
                              <w:color w:val="000000"/>
                            </w:rPr>
                            <w:t>29</w:t>
                          </w:r>
                          <w:r>
                            <w:rPr>
                              <w:color w:val="000000"/>
                            </w:rPr>
                            <w:fldChar w:fldCharType="end"/>
                          </w:r>
                          <w:r>
                            <w:rPr>
                              <w:rFonts w:cs="Calibri"/>
                              <w:color w:val="000000"/>
                              <w:sz w:val="16"/>
                              <w:szCs w:val="16"/>
                            </w:rPr>
                            <w:t xml:space="preserve"> z </w:t>
                          </w:r>
                          <w:r>
                            <w:rPr>
                              <w:color w:val="000000"/>
                            </w:rPr>
                            <w:fldChar w:fldCharType="begin"/>
                          </w:r>
                          <w:r>
                            <w:rPr>
                              <w:color w:val="000000"/>
                            </w:rPr>
                            <w:instrText> NUMPAGES </w:instrText>
                          </w:r>
                          <w:r>
                            <w:rPr>
                              <w:color w:val="000000"/>
                            </w:rPr>
                            <w:fldChar w:fldCharType="separate"/>
                          </w:r>
                          <w:r>
                            <w:rPr>
                              <w:color w:val="000000"/>
                            </w:rPr>
                            <w:t>29</w:t>
                          </w:r>
                          <w:r>
                            <w:rPr>
                              <w:color w:val="000000"/>
                            </w:rPr>
                            <w:fldChar w:fldCharType="end"/>
                          </w:r>
                        </w:p>
                        <w:p>
                          <w:pPr>
                            <w:pStyle w:val="Zawartoramki"/>
                            <w:spacing w:before="0" w:after="200"/>
                            <w:rPr>
                              <w:color w:val="000000"/>
                            </w:rPr>
                          </w:pPr>
                          <w:r>
                            <w:rPr>
                              <w:color w:val="000000"/>
                            </w:rPr>
                          </w:r>
                        </w:p>
                      </w:txbxContent>
                    </wps:txbx>
                    <wps:bodyPr>
                      <a:noAutofit/>
                    </wps:bodyPr>
                  </wps:wsp>
                </a:graphicData>
              </a:graphic>
            </wp:anchor>
          </w:drawing>
        </mc:Choice>
        <mc:Fallback>
          <w:pict>
            <v:rect id="shape_0" ID="Pole tekstowe 2" fillcolor="white" stroked="t" style="position:absolute;margin-left:200.5pt;margin-top:16.35pt;width:71.95pt;height:19.2pt;mso-position-horizontal-relative:margin" wp14:anchorId="1964CE46">
              <w10:wrap type="square"/>
              <v:fill o:detectmouseclick="t" type="solid" color2="black"/>
              <v:stroke color="white" weight="9360" joinstyle="miter" endcap="flat"/>
              <v:textbox>
                <w:txbxContent>
                  <w:p>
                    <w:pPr>
                      <w:pStyle w:val="Stopka"/>
                      <w:rPr>
                        <w:color w:val="000000"/>
                      </w:rPr>
                    </w:pPr>
                    <w:r>
                      <w:rPr>
                        <w:rFonts w:cs="Calibri"/>
                        <w:color w:val="000000"/>
                        <w:sz w:val="16"/>
                        <w:szCs w:val="16"/>
                      </w:rPr>
                      <w:t xml:space="preserve">Strona </w:t>
                    </w:r>
                    <w:r>
                      <w:rPr>
                        <w:color w:val="000000"/>
                      </w:rPr>
                      <w:fldChar w:fldCharType="begin"/>
                    </w:r>
                    <w:r>
                      <w:rPr>
                        <w:color w:val="000000"/>
                      </w:rPr>
                      <w:instrText> PAGE </w:instrText>
                    </w:r>
                    <w:r>
                      <w:rPr>
                        <w:color w:val="000000"/>
                      </w:rPr>
                      <w:fldChar w:fldCharType="separate"/>
                    </w:r>
                    <w:r>
                      <w:rPr>
                        <w:color w:val="000000"/>
                      </w:rPr>
                      <w:t>29</w:t>
                    </w:r>
                    <w:r>
                      <w:rPr>
                        <w:color w:val="000000"/>
                      </w:rPr>
                      <w:fldChar w:fldCharType="end"/>
                    </w:r>
                    <w:r>
                      <w:rPr>
                        <w:rFonts w:cs="Calibri"/>
                        <w:color w:val="000000"/>
                        <w:sz w:val="16"/>
                        <w:szCs w:val="16"/>
                      </w:rPr>
                      <w:t xml:space="preserve"> z </w:t>
                    </w:r>
                    <w:r>
                      <w:rPr>
                        <w:color w:val="000000"/>
                      </w:rPr>
                      <w:fldChar w:fldCharType="begin"/>
                    </w:r>
                    <w:r>
                      <w:rPr>
                        <w:color w:val="000000"/>
                      </w:rPr>
                      <w:instrText> NUMPAGES </w:instrText>
                    </w:r>
                    <w:r>
                      <w:rPr>
                        <w:color w:val="000000"/>
                      </w:rPr>
                      <w:fldChar w:fldCharType="separate"/>
                    </w:r>
                    <w:r>
                      <w:rPr>
                        <w:color w:val="000000"/>
                      </w:rPr>
                      <w:t>29</w:t>
                    </w:r>
                    <w:r>
                      <w:rPr>
                        <w:color w:val="000000"/>
                      </w:rPr>
                      <w:fldChar w:fldCharType="end"/>
                    </w:r>
                  </w:p>
                  <w:p>
                    <w:pPr>
                      <w:pStyle w:val="Zawartoramki"/>
                      <w:spacing w:before="0" w:after="200"/>
                      <w:rPr>
                        <w:color w:val="000000"/>
                      </w:rPr>
                    </w:pPr>
                    <w:r>
                      <w:rPr>
                        <w:color w:val="000000"/>
                      </w:rPr>
                    </w:r>
                  </w:p>
                </w:txbxContent>
              </v:textbox>
            </v:rect>
          </w:pict>
        </mc:Fallback>
      </mc:AlternateContent>
    </w:r>
    <w:r>
      <w:rPr>
        <w:rFonts w:cs="Microsoft Sans Serif"/>
        <w:sz w:val="16"/>
        <w:szCs w:val="16"/>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pBdr>
        <w:bottom w:val="single" w:sz="4" w:space="1" w:color="00000A"/>
      </w:pBdr>
      <w:jc w:val="center"/>
      <w:rPr>
        <w:sz w:val="14"/>
      </w:rPr>
    </w:pPr>
    <w:r>
      <w:rPr/>
      <w:drawing>
        <wp:inline distT="0" distB="0" distL="0" distR="0">
          <wp:extent cx="5640705" cy="542925"/>
          <wp:effectExtent l="0" t="0" r="0" b="0"/>
          <wp:docPr id="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pic:cNvPicPr>
                    <a:picLocks noChangeAspect="1" noChangeArrowheads="1"/>
                  </pic:cNvPicPr>
                </pic:nvPicPr>
                <pic:blipFill>
                  <a:blip r:embed="rId1"/>
                  <a:stretch>
                    <a:fillRect/>
                  </a:stretch>
                </pic:blipFill>
                <pic:spPr bwMode="auto">
                  <a:xfrm>
                    <a:off x="0" y="0"/>
                    <a:ext cx="5640705" cy="542925"/>
                  </a:xfrm>
                  <a:prstGeom prst="rect">
                    <a:avLst/>
                  </a:prstGeom>
                </pic:spPr>
              </pic:pic>
            </a:graphicData>
          </a:graphic>
        </wp:inline>
      </w:drawing>
    </w:r>
  </w:p>
  <w:p>
    <w:pPr>
      <w:pStyle w:val="Gwka"/>
      <w:pBdr>
        <w:bottom w:val="single" w:sz="4" w:space="1" w:color="00000A"/>
      </w:pBdr>
      <w:jc w:val="center"/>
      <w:rPr>
        <w:sz w:val="14"/>
      </w:rPr>
    </w:pPr>
    <w:r>
      <w:rPr>
        <w:sz w:val="14"/>
      </w:rPr>
    </w:r>
  </w:p>
  <w:p>
    <w:pPr>
      <w:pStyle w:val="Gwka"/>
      <w:ind w:left="-567" w:hanging="0"/>
      <w:rPr>
        <w:rFonts w:ascii="Times New Roman" w:hAnsi="Times New Roman"/>
      </w:rPr>
    </w:pPr>
    <w:r>
      <w:rPr>
        <w:rFonts w:ascii="Times New Roman" w:hAnsi="Times New Roman"/>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decimal"/>
      <w:lvlText w:val="%1"/>
      <w:lvlJc w:val="left"/>
      <w:pPr>
        <w:ind w:left="432" w:hanging="432"/>
      </w:pPr>
    </w:lvl>
    <w:lvl w:ilvl="1">
      <w:start w:val="1"/>
      <w:pStyle w:val="Nagwek2"/>
      <w:numFmt w:val="decimal"/>
      <w:lvlText w:val="%1.%2"/>
      <w:lvlJc w:val="left"/>
      <w:pPr>
        <w:ind w:left="576" w:hanging="576"/>
      </w:pPr>
    </w:lvl>
    <w:lvl w:ilvl="2">
      <w:start w:val="1"/>
      <w:pStyle w:val="Nagwek3"/>
      <w:numFmt w:val="decimal"/>
      <w:lvlText w:val="%1.%2.%3"/>
      <w:lvlJc w:val="left"/>
      <w:pPr>
        <w:ind w:left="1146" w:hanging="720"/>
      </w:pPr>
    </w:lvl>
    <w:lvl w:ilvl="3">
      <w:start w:val="1"/>
      <w:pStyle w:val="Nagwek4"/>
      <w:numFmt w:val="decimal"/>
      <w:lvlText w:val="%1.%2.%3.%4"/>
      <w:lvlJc w:val="left"/>
      <w:pPr>
        <w:ind w:left="3415" w:hanging="864"/>
      </w:pPr>
    </w:lvl>
    <w:lvl w:ilvl="4">
      <w:start w:val="1"/>
      <w:pStyle w:val="Nagwek5"/>
      <w:numFmt w:val="decimal"/>
      <w:lvlText w:val="%1.%2.%3.%4.%5"/>
      <w:lvlJc w:val="left"/>
      <w:pPr>
        <w:ind w:left="1008" w:hanging="1008"/>
      </w:pPr>
    </w:lvl>
    <w:lvl w:ilvl="5">
      <w:start w:val="1"/>
      <w:pStyle w:val="Nagwek6"/>
      <w:numFmt w:val="decimal"/>
      <w:lvlText w:val="%1.%2.%3.%4.%5.%6"/>
      <w:lvlJc w:val="left"/>
      <w:pPr>
        <w:ind w:left="1152" w:hanging="1152"/>
      </w:pPr>
    </w:lvl>
    <w:lvl w:ilvl="6">
      <w:start w:val="1"/>
      <w:pStyle w:val="Nagwek7"/>
      <w:numFmt w:val="decimal"/>
      <w:lvlText w:val="%1.%2.%3.%4.%5.%6.%7"/>
      <w:lvlJc w:val="left"/>
      <w:pPr>
        <w:ind w:left="1296" w:hanging="1296"/>
      </w:pPr>
    </w:lvl>
    <w:lvl w:ilvl="7">
      <w:start w:val="1"/>
      <w:pStyle w:val="Nagwek8"/>
      <w:numFmt w:val="decimal"/>
      <w:lvlText w:val="%1.%2.%3.%4.%5.%6.%7.%8"/>
      <w:lvlJc w:val="left"/>
      <w:pPr>
        <w:ind w:left="1440" w:hanging="1440"/>
      </w:pPr>
    </w:lvl>
    <w:lvl w:ilvl="8">
      <w:start w:val="1"/>
      <w:pStyle w:val="Nagwek9"/>
      <w:numFmt w:val="decimal"/>
      <w:lvlText w:val="%1.%2.%3.%4.%5.%6.%7.%8.%9"/>
      <w:lvlJc w:val="left"/>
      <w:pPr>
        <w:ind w:left="1584" w:hanging="1584"/>
      </w:pPr>
    </w:lvl>
  </w:abstractNum>
  <w:abstractNum w:abstractNumId="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146" w:hanging="720"/>
      </w:pPr>
    </w:lvl>
    <w:lvl w:ilvl="3">
      <w:start w:val="1"/>
      <w:numFmt w:val="decimal"/>
      <w:lvlText w:val="%1.%2.%3.%4"/>
      <w:lvlJc w:val="left"/>
      <w:pPr>
        <w:ind w:left="3415"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lvl w:ilvl="0">
      <w:start w:val="1"/>
      <w:numFmt w:val="decimal"/>
      <w:lvlText w:val="%1."/>
      <w:lvlJc w:val="left"/>
      <w:pPr>
        <w:ind w:left="720" w:hanging="360"/>
      </w:pPr>
      <w:rPr>
        <w:b/>
        <w:bCs w:val="fals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34cc"/>
    <w:pPr>
      <w:widowControl/>
      <w:bidi w:val="0"/>
      <w:spacing w:lineRule="auto" w:line="276" w:before="0" w:after="200"/>
      <w:jc w:val="left"/>
    </w:pPr>
    <w:rPr>
      <w:rFonts w:cs="Times New Roman" w:ascii="Calibri" w:hAnsi="Calibri" w:eastAsia="Calibri" w:asciiTheme="minorHAnsi" w:eastAsiaTheme="minorHAnsi" w:hAnsiTheme="minorHAnsi"/>
      <w:color w:val="auto"/>
      <w:kern w:val="0"/>
      <w:sz w:val="22"/>
      <w:szCs w:val="22"/>
      <w:lang w:val="pl-PL" w:eastAsia="en-US" w:bidi="ar-SA"/>
    </w:rPr>
  </w:style>
  <w:style w:type="paragraph" w:styleId="Nagwek1">
    <w:name w:val="Heading 1"/>
    <w:basedOn w:val="Normal"/>
    <w:link w:val="Nagwek1Znak"/>
    <w:qFormat/>
    <w:rsid w:val="00c634cc"/>
    <w:pPr>
      <w:keepNext w:val="true"/>
      <w:keepLines/>
      <w:numPr>
        <w:ilvl w:val="0"/>
        <w:numId w:val="1"/>
      </w:numPr>
      <w:spacing w:lineRule="auto" w:line="360" w:before="240" w:after="240"/>
      <w:outlineLvl w:val="0"/>
    </w:pPr>
    <w:rPr>
      <w:rFonts w:eastAsia="Times New Roman" w:cs="Arial"/>
      <w:b/>
      <w:bCs/>
      <w:kern w:val="2"/>
      <w:sz w:val="32"/>
      <w:szCs w:val="20"/>
      <w:lang w:eastAsia="pl-PL"/>
    </w:rPr>
  </w:style>
  <w:style w:type="paragraph" w:styleId="Nagwek2">
    <w:name w:val="Heading 2"/>
    <w:basedOn w:val="Normal"/>
    <w:next w:val="Normal"/>
    <w:link w:val="Nagwek2Znak"/>
    <w:uiPriority w:val="99"/>
    <w:unhideWhenUsed/>
    <w:qFormat/>
    <w:rsid w:val="00c634cc"/>
    <w:pPr>
      <w:keepNext w:val="true"/>
      <w:keepLines/>
      <w:numPr>
        <w:ilvl w:val="1"/>
        <w:numId w:val="1"/>
      </w:numPr>
      <w:spacing w:lineRule="auto" w:line="360" w:before="240" w:after="240"/>
      <w:outlineLvl w:val="1"/>
    </w:pPr>
    <w:rPr>
      <w:rFonts w:eastAsia="Times New Roman"/>
      <w:b/>
      <w:bCs/>
      <w:i/>
      <w:iCs/>
      <w:sz w:val="28"/>
      <w:szCs w:val="28"/>
    </w:rPr>
  </w:style>
  <w:style w:type="paragraph" w:styleId="Nagwek3">
    <w:name w:val="Heading 3"/>
    <w:basedOn w:val="Normal"/>
    <w:next w:val="Normal"/>
    <w:link w:val="Nagwek3Znak"/>
    <w:unhideWhenUsed/>
    <w:qFormat/>
    <w:rsid w:val="00c634cc"/>
    <w:pPr>
      <w:keepNext w:val="true"/>
      <w:keepLines/>
      <w:numPr>
        <w:ilvl w:val="2"/>
        <w:numId w:val="1"/>
      </w:numPr>
      <w:tabs>
        <w:tab w:val="clear" w:pos="708"/>
        <w:tab w:val="left" w:pos="360" w:leader="none"/>
      </w:tabs>
      <w:spacing w:lineRule="auto" w:line="360" w:before="120" w:after="120"/>
      <w:ind w:left="0" w:hanging="0"/>
      <w:outlineLvl w:val="2"/>
    </w:pPr>
    <w:rPr>
      <w:rFonts w:eastAsia="Times New Roman" w:cs="Arial"/>
      <w:b/>
      <w:bCs/>
      <w:i/>
      <w:sz w:val="24"/>
      <w:szCs w:val="20"/>
    </w:rPr>
  </w:style>
  <w:style w:type="paragraph" w:styleId="Nagwek4">
    <w:name w:val="Heading 4"/>
    <w:basedOn w:val="Normal"/>
    <w:next w:val="Normal"/>
    <w:link w:val="Nagwek4Znak"/>
    <w:unhideWhenUsed/>
    <w:qFormat/>
    <w:rsid w:val="00c634cc"/>
    <w:pPr>
      <w:keepNext w:val="true"/>
      <w:keepLines/>
      <w:numPr>
        <w:ilvl w:val="3"/>
        <w:numId w:val="1"/>
      </w:numPr>
      <w:tabs>
        <w:tab w:val="clear" w:pos="708"/>
        <w:tab w:val="left" w:pos="360" w:leader="none"/>
      </w:tabs>
      <w:spacing w:lineRule="auto" w:line="240" w:before="120" w:after="120"/>
      <w:ind w:left="1276" w:hanging="862"/>
      <w:outlineLvl w:val="3"/>
    </w:pPr>
    <w:rPr>
      <w:rFonts w:eastAsia="Times New Roman" w:cs="Arial"/>
      <w:b/>
      <w:i/>
      <w:iCs/>
      <w:szCs w:val="20"/>
    </w:rPr>
  </w:style>
  <w:style w:type="paragraph" w:styleId="Nagwek5">
    <w:name w:val="Heading 5"/>
    <w:basedOn w:val="Normal"/>
    <w:next w:val="Normal"/>
    <w:link w:val="Nagwek5Znak"/>
    <w:unhideWhenUsed/>
    <w:qFormat/>
    <w:rsid w:val="00c634cc"/>
    <w:pPr>
      <w:keepNext w:val="true"/>
      <w:keepLines/>
      <w:numPr>
        <w:ilvl w:val="4"/>
        <w:numId w:val="1"/>
      </w:numPr>
      <w:tabs>
        <w:tab w:val="clear" w:pos="708"/>
        <w:tab w:val="left" w:pos="360" w:leader="none"/>
      </w:tabs>
      <w:spacing w:lineRule="auto" w:line="259" w:before="40" w:after="0"/>
      <w:ind w:left="0" w:hanging="0"/>
      <w:outlineLvl w:val="4"/>
    </w:pPr>
    <w:rPr>
      <w:rFonts w:ascii="Calibri Light" w:hAnsi="Calibri Light" w:eastAsia="Times New Roman"/>
      <w:color w:val="2E74B5"/>
    </w:rPr>
  </w:style>
  <w:style w:type="paragraph" w:styleId="Nagwek6">
    <w:name w:val="Heading 6"/>
    <w:basedOn w:val="Normal"/>
    <w:next w:val="Normal"/>
    <w:link w:val="Nagwek6Znak"/>
    <w:unhideWhenUsed/>
    <w:qFormat/>
    <w:rsid w:val="00c634cc"/>
    <w:pPr>
      <w:keepNext w:val="true"/>
      <w:numPr>
        <w:ilvl w:val="5"/>
        <w:numId w:val="1"/>
      </w:numPr>
      <w:pBdr>
        <w:bottom w:val="dotted" w:sz="6" w:space="1" w:color="5B9BD5"/>
      </w:pBdr>
      <w:tabs>
        <w:tab w:val="clear" w:pos="708"/>
        <w:tab w:val="left" w:pos="360" w:leader="none"/>
      </w:tabs>
      <w:spacing w:before="300" w:after="0"/>
      <w:ind w:left="0" w:hanging="0"/>
      <w:outlineLvl w:val="5"/>
    </w:pPr>
    <w:rPr>
      <w:rFonts w:ascii="Calibri" w:hAnsi="Calibri" w:eastAsia="Times New Roman"/>
      <w:caps/>
      <w:color w:val="2E74B5"/>
      <w:spacing w:val="10"/>
    </w:rPr>
  </w:style>
  <w:style w:type="paragraph" w:styleId="Nagwek7">
    <w:name w:val="Heading 7"/>
    <w:basedOn w:val="Normal"/>
    <w:next w:val="Normal"/>
    <w:link w:val="Nagwek7Znak"/>
    <w:unhideWhenUsed/>
    <w:qFormat/>
    <w:rsid w:val="00c634cc"/>
    <w:pPr>
      <w:keepNext w:val="true"/>
      <w:numPr>
        <w:ilvl w:val="6"/>
        <w:numId w:val="1"/>
      </w:numPr>
      <w:tabs>
        <w:tab w:val="clear" w:pos="708"/>
        <w:tab w:val="left" w:pos="360" w:leader="none"/>
      </w:tabs>
      <w:spacing w:before="300" w:after="0"/>
      <w:ind w:left="0" w:hanging="0"/>
      <w:outlineLvl w:val="6"/>
    </w:pPr>
    <w:rPr>
      <w:rFonts w:ascii="Calibri" w:hAnsi="Calibri" w:eastAsia="Times New Roman"/>
      <w:caps/>
      <w:color w:val="2E74B5"/>
      <w:spacing w:val="10"/>
    </w:rPr>
  </w:style>
  <w:style w:type="paragraph" w:styleId="Nagwek8">
    <w:name w:val="Heading 8"/>
    <w:basedOn w:val="Normal"/>
    <w:next w:val="Normal"/>
    <w:link w:val="Nagwek8Znak"/>
    <w:unhideWhenUsed/>
    <w:qFormat/>
    <w:rsid w:val="00c634cc"/>
    <w:pPr>
      <w:numPr>
        <w:ilvl w:val="7"/>
        <w:numId w:val="1"/>
      </w:numPr>
      <w:tabs>
        <w:tab w:val="clear" w:pos="708"/>
        <w:tab w:val="left" w:pos="360" w:leader="none"/>
      </w:tabs>
      <w:spacing w:before="300" w:after="0"/>
      <w:ind w:left="0" w:hanging="0"/>
      <w:outlineLvl w:val="7"/>
    </w:pPr>
    <w:rPr>
      <w:rFonts w:ascii="Calibri" w:hAnsi="Calibri" w:eastAsia="Times New Roman"/>
      <w:caps/>
      <w:spacing w:val="10"/>
      <w:sz w:val="18"/>
      <w:szCs w:val="18"/>
    </w:rPr>
  </w:style>
  <w:style w:type="paragraph" w:styleId="Nagwek9">
    <w:name w:val="Heading 9"/>
    <w:basedOn w:val="Normal"/>
    <w:next w:val="Normal"/>
    <w:link w:val="Nagwek9Znak"/>
    <w:unhideWhenUsed/>
    <w:qFormat/>
    <w:rsid w:val="00c634cc"/>
    <w:pPr>
      <w:numPr>
        <w:ilvl w:val="8"/>
        <w:numId w:val="1"/>
      </w:numPr>
      <w:tabs>
        <w:tab w:val="clear" w:pos="708"/>
        <w:tab w:val="left" w:pos="360" w:leader="none"/>
      </w:tabs>
      <w:spacing w:before="300" w:after="0"/>
      <w:ind w:left="0" w:hanging="0"/>
      <w:outlineLvl w:val="8"/>
    </w:pPr>
    <w:rPr>
      <w:rFonts w:ascii="Calibri" w:hAnsi="Calibri" w:eastAsia="Times New Roman"/>
      <w:i/>
      <w:caps/>
      <w:spacing w:val="10"/>
      <w:sz w:val="18"/>
      <w:szCs w:val="18"/>
    </w:rPr>
  </w:style>
  <w:style w:type="character" w:styleId="DefaultParagraphFont" w:default="1">
    <w:name w:val="Default Paragraph Font"/>
    <w:uiPriority w:val="1"/>
    <w:unhideWhenUsed/>
    <w:qFormat/>
    <w:rPr/>
  </w:style>
  <w:style w:type="character" w:styleId="NagwekZnak" w:customStyle="1">
    <w:name w:val="Nagłówek Znak"/>
    <w:basedOn w:val="DefaultParagraphFont"/>
    <w:link w:val="Nagwek"/>
    <w:uiPriority w:val="99"/>
    <w:qFormat/>
    <w:rsid w:val="00c634cc"/>
    <w:rPr>
      <w:rFonts w:ascii="Calibri" w:hAnsi="Calibri" w:eastAsia="Calibri" w:cs="Times New Roman"/>
    </w:rPr>
  </w:style>
  <w:style w:type="character" w:styleId="StopkaZnak" w:customStyle="1">
    <w:name w:val="Stopka Znak"/>
    <w:basedOn w:val="DefaultParagraphFont"/>
    <w:link w:val="Stopka"/>
    <w:uiPriority w:val="99"/>
    <w:qFormat/>
    <w:rsid w:val="00c634cc"/>
    <w:rPr>
      <w:rFonts w:ascii="Calibri" w:hAnsi="Calibri" w:eastAsia="Calibri" w:cs="Times New Roman"/>
    </w:rPr>
  </w:style>
  <w:style w:type="character" w:styleId="NagwekZnak1" w:customStyle="1">
    <w:name w:val="Nagłówek Znak1"/>
    <w:basedOn w:val="DefaultParagraphFont"/>
    <w:uiPriority w:val="99"/>
    <w:semiHidden/>
    <w:qFormat/>
    <w:rsid w:val="00c634cc"/>
    <w:rPr>
      <w:rFonts w:cs="Times New Roman"/>
    </w:rPr>
  </w:style>
  <w:style w:type="character" w:styleId="StopkaZnak1" w:customStyle="1">
    <w:name w:val="Stopka Znak1"/>
    <w:basedOn w:val="DefaultParagraphFont"/>
    <w:uiPriority w:val="99"/>
    <w:semiHidden/>
    <w:qFormat/>
    <w:rsid w:val="00c634cc"/>
    <w:rPr>
      <w:rFonts w:cs="Times New Roman"/>
    </w:rPr>
  </w:style>
  <w:style w:type="character" w:styleId="TekstprzypisudolnegoZnak" w:customStyle="1">
    <w:name w:val="Tekst przypisu dolnego Znak"/>
    <w:link w:val="Tekstprzypisudolnego"/>
    <w:uiPriority w:val="99"/>
    <w:semiHidden/>
    <w:qFormat/>
    <w:locked/>
    <w:rsid w:val="00c634cc"/>
    <w:rPr>
      <w:rFonts w:ascii="Arial Unicode MS" w:hAnsi="Arial Unicode MS" w:eastAsia="Arial Unicode MS"/>
      <w:color w:val="000000"/>
      <w:lang w:eastAsia="pl-PL"/>
    </w:rPr>
  </w:style>
  <w:style w:type="character" w:styleId="TekstprzypisudolnegoZnak1" w:customStyle="1">
    <w:name w:val="Tekst przypisu dolnego Znak1"/>
    <w:basedOn w:val="DefaultParagraphFont"/>
    <w:uiPriority w:val="99"/>
    <w:semiHidden/>
    <w:qFormat/>
    <w:rsid w:val="00c634cc"/>
    <w:rPr>
      <w:rFonts w:cs="Times New Roman"/>
      <w:sz w:val="20"/>
      <w:szCs w:val="20"/>
    </w:rPr>
  </w:style>
  <w:style w:type="character" w:styleId="Zakotwiczenieprzypisudolnego">
    <w:name w:val="Zakotwiczenie przypisu dolnego"/>
    <w:rPr>
      <w:rFonts w:cs="Times New Roman"/>
      <w:vertAlign w:val="superscript"/>
    </w:rPr>
  </w:style>
  <w:style w:type="character" w:styleId="FootnoteCharacters">
    <w:name w:val="Footnote Characters"/>
    <w:uiPriority w:val="99"/>
    <w:semiHidden/>
    <w:qFormat/>
    <w:rsid w:val="00c634cc"/>
    <w:rPr>
      <w:rFonts w:cs="Times New Roman"/>
      <w:vertAlign w:val="superscript"/>
    </w:rPr>
  </w:style>
  <w:style w:type="character" w:styleId="TekstpodstawowyZnak" w:customStyle="1">
    <w:name w:val="Tekst podstawowy Znak"/>
    <w:basedOn w:val="DefaultParagraphFont"/>
    <w:link w:val="Tekstpodstawowy"/>
    <w:uiPriority w:val="99"/>
    <w:semiHidden/>
    <w:qFormat/>
    <w:rsid w:val="00c634cc"/>
    <w:rPr>
      <w:rFonts w:cs="Times New Roman"/>
    </w:rPr>
  </w:style>
  <w:style w:type="character" w:styleId="Nagwek1Znak" w:customStyle="1">
    <w:name w:val="Nagłówek 1 Znak"/>
    <w:basedOn w:val="DefaultParagraphFont"/>
    <w:link w:val="Nagwek1"/>
    <w:qFormat/>
    <w:rsid w:val="00c634cc"/>
    <w:rPr>
      <w:rFonts w:eastAsia="Times New Roman" w:cs="Arial"/>
      <w:b/>
      <w:bCs/>
      <w:kern w:val="2"/>
      <w:sz w:val="32"/>
      <w:szCs w:val="20"/>
      <w:lang w:eastAsia="pl-PL"/>
    </w:rPr>
  </w:style>
  <w:style w:type="character" w:styleId="Nagwek2Znak" w:customStyle="1">
    <w:name w:val="Nagłówek 2 Znak"/>
    <w:basedOn w:val="DefaultParagraphFont"/>
    <w:link w:val="Nagwek2"/>
    <w:uiPriority w:val="99"/>
    <w:qFormat/>
    <w:rsid w:val="00c634cc"/>
    <w:rPr>
      <w:rFonts w:eastAsia="Times New Roman" w:cs="Times New Roman"/>
      <w:b/>
      <w:bCs/>
      <w:i/>
      <w:iCs/>
      <w:sz w:val="28"/>
      <w:szCs w:val="28"/>
    </w:rPr>
  </w:style>
  <w:style w:type="character" w:styleId="Nagwek3Znak" w:customStyle="1">
    <w:name w:val="Nagłówek 3 Znak"/>
    <w:basedOn w:val="DefaultParagraphFont"/>
    <w:link w:val="Nagwek3"/>
    <w:qFormat/>
    <w:rsid w:val="00c634cc"/>
    <w:rPr>
      <w:rFonts w:eastAsia="Times New Roman" w:cs="Arial"/>
      <w:b/>
      <w:bCs/>
      <w:i/>
      <w:sz w:val="24"/>
      <w:szCs w:val="20"/>
    </w:rPr>
  </w:style>
  <w:style w:type="character" w:styleId="Nagwek4Znak" w:customStyle="1">
    <w:name w:val="Nagłówek 4 Znak"/>
    <w:basedOn w:val="DefaultParagraphFont"/>
    <w:link w:val="Nagwek4"/>
    <w:qFormat/>
    <w:rsid w:val="00c634cc"/>
    <w:rPr>
      <w:rFonts w:eastAsia="Times New Roman" w:cs="Arial"/>
      <w:b/>
      <w:i/>
      <w:iCs/>
      <w:szCs w:val="20"/>
    </w:rPr>
  </w:style>
  <w:style w:type="character" w:styleId="Nagwek5Znak" w:customStyle="1">
    <w:name w:val="Nagłówek 5 Znak"/>
    <w:basedOn w:val="DefaultParagraphFont"/>
    <w:link w:val="Nagwek5"/>
    <w:qFormat/>
    <w:rsid w:val="00c634cc"/>
    <w:rPr>
      <w:rFonts w:ascii="Calibri Light" w:hAnsi="Calibri Light" w:eastAsia="Times New Roman" w:cs="Times New Roman"/>
      <w:color w:val="2E74B5"/>
    </w:rPr>
  </w:style>
  <w:style w:type="character" w:styleId="Nagwek6Znak" w:customStyle="1">
    <w:name w:val="Nagłówek 6 Znak"/>
    <w:basedOn w:val="DefaultParagraphFont"/>
    <w:link w:val="Nagwek6"/>
    <w:qFormat/>
    <w:rsid w:val="00c634cc"/>
    <w:rPr>
      <w:rFonts w:ascii="Calibri" w:hAnsi="Calibri" w:eastAsia="Times New Roman" w:cs="Times New Roman"/>
      <w:caps/>
      <w:color w:val="2E74B5"/>
      <w:spacing w:val="10"/>
    </w:rPr>
  </w:style>
  <w:style w:type="character" w:styleId="Nagwek7Znak" w:customStyle="1">
    <w:name w:val="Nagłówek 7 Znak"/>
    <w:basedOn w:val="DefaultParagraphFont"/>
    <w:link w:val="Nagwek7"/>
    <w:qFormat/>
    <w:rsid w:val="00c634cc"/>
    <w:rPr>
      <w:rFonts w:ascii="Calibri" w:hAnsi="Calibri" w:eastAsia="Times New Roman" w:cs="Times New Roman"/>
      <w:caps/>
      <w:color w:val="2E74B5"/>
      <w:spacing w:val="10"/>
    </w:rPr>
  </w:style>
  <w:style w:type="character" w:styleId="Nagwek8Znak" w:customStyle="1">
    <w:name w:val="Nagłówek 8 Znak"/>
    <w:basedOn w:val="DefaultParagraphFont"/>
    <w:link w:val="Nagwek8"/>
    <w:qFormat/>
    <w:rsid w:val="00c634cc"/>
    <w:rPr>
      <w:rFonts w:ascii="Calibri" w:hAnsi="Calibri" w:eastAsia="Times New Roman" w:cs="Times New Roman"/>
      <w:caps/>
      <w:spacing w:val="10"/>
      <w:sz w:val="18"/>
      <w:szCs w:val="18"/>
    </w:rPr>
  </w:style>
  <w:style w:type="character" w:styleId="Nagwek9Znak" w:customStyle="1">
    <w:name w:val="Nagłówek 9 Znak"/>
    <w:basedOn w:val="DefaultParagraphFont"/>
    <w:link w:val="Nagwek9"/>
    <w:qFormat/>
    <w:rsid w:val="00c634cc"/>
    <w:rPr>
      <w:rFonts w:ascii="Calibri" w:hAnsi="Calibri" w:eastAsia="Times New Roman" w:cs="Times New Roman"/>
      <w:i/>
      <w:caps/>
      <w:spacing w:val="10"/>
      <w:sz w:val="18"/>
      <w:szCs w:val="18"/>
    </w:rPr>
  </w:style>
  <w:style w:type="character" w:styleId="Czeinternetowe">
    <w:name w:val="Łącze internetowe"/>
    <w:uiPriority w:val="99"/>
    <w:rsid w:val="00c634cc"/>
    <w:rPr>
      <w:rFonts w:ascii="Times New Roman" w:hAnsi="Times New Roman" w:cs="Times New Roman"/>
      <w:color w:val="0000FF"/>
      <w:u w:val="single"/>
    </w:rPr>
  </w:style>
  <w:style w:type="character" w:styleId="UnresolvedMention">
    <w:name w:val="Unresolved Mention"/>
    <w:basedOn w:val="DefaultParagraphFont"/>
    <w:uiPriority w:val="99"/>
    <w:semiHidden/>
    <w:unhideWhenUsed/>
    <w:qFormat/>
    <w:rsid w:val="00c634cc"/>
    <w:rPr>
      <w:color w:val="605E5C"/>
      <w:shd w:fill="E1DFDD" w:val="clear"/>
    </w:rPr>
  </w:style>
  <w:style w:type="character" w:styleId="TekstdymkaZnak" w:customStyle="1">
    <w:name w:val="Tekst dymka Znak"/>
    <w:basedOn w:val="DefaultParagraphFont"/>
    <w:link w:val="Tekstdymka"/>
    <w:uiPriority w:val="99"/>
    <w:semiHidden/>
    <w:qFormat/>
    <w:rsid w:val="00c873f5"/>
    <w:rPr>
      <w:rFonts w:ascii="Segoe UI" w:hAnsi="Segoe UI" w:eastAsia="Times New Roman" w:cs="Segoe UI"/>
      <w:sz w:val="18"/>
      <w:szCs w:val="18"/>
      <w:lang w:eastAsia="pl-PL"/>
    </w:rPr>
  </w:style>
  <w:style w:type="character" w:styleId="Fontstyle01" w:customStyle="1">
    <w:name w:val="fontstyle01"/>
    <w:basedOn w:val="DefaultParagraphFont"/>
    <w:qFormat/>
    <w:rsid w:val="003f0433"/>
    <w:rPr>
      <w:rFonts w:ascii="ArialMT" w:hAnsi="ArialMT"/>
      <w:b w:val="false"/>
      <w:bCs w:val="false"/>
      <w:i w:val="false"/>
      <w:iCs w:val="false"/>
      <w:color w:val="000000"/>
      <w:sz w:val="22"/>
      <w:szCs w:val="22"/>
    </w:rPr>
  </w:style>
  <w:style w:type="character" w:styleId="S3numeracjaZnak" w:customStyle="1">
    <w:name w:val="S3-numeracja Znak"/>
    <w:basedOn w:val="DefaultParagraphFont"/>
    <w:link w:val="S3-numeracja"/>
    <w:semiHidden/>
    <w:qFormat/>
    <w:locked/>
    <w:rsid w:val="00a476bd"/>
    <w:rPr>
      <w:rFonts w:ascii="Calibri" w:hAnsi="Calibri"/>
    </w:rPr>
  </w:style>
  <w:style w:type="character" w:styleId="Czeindeksu">
    <w:name w:val="Łącze indeksu"/>
    <w:qFormat/>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link w:val="TekstpodstawowyZnak"/>
    <w:uiPriority w:val="99"/>
    <w:semiHidden/>
    <w:unhideWhenUsed/>
    <w:rsid w:val="00c634cc"/>
    <w:pPr>
      <w:spacing w:before="0" w:after="12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Gwkaistopka">
    <w:name w:val="Główka i stopka"/>
    <w:basedOn w:val="Normal"/>
    <w:qFormat/>
    <w:pPr/>
    <w:rPr/>
  </w:style>
  <w:style w:type="paragraph" w:styleId="Gwka">
    <w:name w:val="Header"/>
    <w:basedOn w:val="Normal"/>
    <w:next w:val="Tretekstu"/>
    <w:link w:val="NagwekZnak"/>
    <w:uiPriority w:val="99"/>
    <w:unhideWhenUsed/>
    <w:rsid w:val="00c634cc"/>
    <w:pPr>
      <w:tabs>
        <w:tab w:val="clear" w:pos="708"/>
        <w:tab w:val="center" w:pos="4536" w:leader="none"/>
        <w:tab w:val="right" w:pos="9072" w:leader="none"/>
      </w:tabs>
      <w:spacing w:lineRule="auto" w:line="240" w:before="0" w:after="0"/>
    </w:pPr>
    <w:rPr>
      <w:rFonts w:ascii="Calibri" w:hAnsi="Calibri" w:eastAsia="Calibri"/>
    </w:rPr>
  </w:style>
  <w:style w:type="paragraph" w:styleId="Stopka">
    <w:name w:val="Footer"/>
    <w:basedOn w:val="Normal"/>
    <w:link w:val="StopkaZnak"/>
    <w:uiPriority w:val="99"/>
    <w:unhideWhenUsed/>
    <w:rsid w:val="00c634cc"/>
    <w:pPr>
      <w:tabs>
        <w:tab w:val="clear" w:pos="708"/>
        <w:tab w:val="center" w:pos="4536" w:leader="none"/>
        <w:tab w:val="right" w:pos="9072" w:leader="none"/>
      </w:tabs>
      <w:spacing w:lineRule="auto" w:line="240" w:before="0" w:after="0"/>
    </w:pPr>
    <w:rPr>
      <w:rFonts w:ascii="Calibri" w:hAnsi="Calibri" w:eastAsia="Calibri"/>
    </w:rPr>
  </w:style>
  <w:style w:type="paragraph" w:styleId="ListParagraph">
    <w:name w:val="List Paragraph"/>
    <w:basedOn w:val="Normal"/>
    <w:uiPriority w:val="34"/>
    <w:qFormat/>
    <w:rsid w:val="00c634cc"/>
    <w:pPr>
      <w:spacing w:lineRule="auto" w:line="240" w:before="0" w:after="0"/>
      <w:ind w:left="720" w:hanging="0"/>
    </w:pPr>
    <w:rPr>
      <w:rFonts w:eastAsia="Times New Roman" w:cs="Calibri"/>
    </w:rPr>
  </w:style>
  <w:style w:type="paragraph" w:styleId="Zawartoramki" w:customStyle="1">
    <w:name w:val="Zawartość ramki"/>
    <w:basedOn w:val="Normal"/>
    <w:qFormat/>
    <w:rsid w:val="00c634cc"/>
    <w:pPr/>
    <w:rPr/>
  </w:style>
  <w:style w:type="paragraph" w:styleId="NoSpacing">
    <w:name w:val="No Spacing"/>
    <w:uiPriority w:val="1"/>
    <w:qFormat/>
    <w:rsid w:val="00c634cc"/>
    <w:pPr>
      <w:widowControl/>
      <w:bidi w:val="0"/>
      <w:spacing w:lineRule="auto" w:line="240" w:before="0" w:after="0"/>
      <w:jc w:val="left"/>
    </w:pPr>
    <w:rPr>
      <w:rFonts w:cs="Times New Roman" w:ascii="Calibri" w:hAnsi="Calibri" w:eastAsia="Calibri" w:asciiTheme="minorHAnsi" w:eastAsiaTheme="minorHAnsi" w:hAnsiTheme="minorHAnsi"/>
      <w:color w:val="auto"/>
      <w:kern w:val="0"/>
      <w:sz w:val="22"/>
      <w:szCs w:val="22"/>
      <w:lang w:val="pl-PL" w:eastAsia="en-US" w:bidi="ar-SA"/>
    </w:rPr>
  </w:style>
  <w:style w:type="paragraph" w:styleId="Przypisdolny">
    <w:name w:val="Footnote Text"/>
    <w:basedOn w:val="Normal"/>
    <w:link w:val="TekstprzypisudolnegoZnak"/>
    <w:uiPriority w:val="99"/>
    <w:semiHidden/>
    <w:rsid w:val="00c634cc"/>
    <w:pPr>
      <w:spacing w:lineRule="auto" w:line="240" w:before="0" w:after="0"/>
    </w:pPr>
    <w:rPr>
      <w:rFonts w:ascii="Arial Unicode MS" w:hAnsi="Arial Unicode MS" w:eastAsia="Arial Unicode MS" w:cs="" w:cstheme="minorBidi"/>
      <w:color w:val="000000"/>
      <w:lang w:eastAsia="pl-PL"/>
    </w:rPr>
  </w:style>
  <w:style w:type="paragraph" w:styleId="Default" w:customStyle="1">
    <w:name w:val="Default"/>
    <w:qFormat/>
    <w:rsid w:val="00c634cc"/>
    <w:pPr>
      <w:widowControl/>
      <w:bidi w:val="0"/>
      <w:spacing w:lineRule="auto" w:line="240" w:before="0" w:after="0"/>
      <w:jc w:val="left"/>
    </w:pPr>
    <w:rPr>
      <w:rFonts w:ascii="Times New Roman" w:hAnsi="Times New Roman" w:eastAsia="Times New Roman" w:cs="Times New Roman"/>
      <w:color w:val="000000"/>
      <w:kern w:val="0"/>
      <w:sz w:val="24"/>
      <w:szCs w:val="24"/>
      <w:lang w:eastAsia="pl-PL" w:val="pl-PL" w:bidi="ar-SA"/>
    </w:rPr>
  </w:style>
  <w:style w:type="paragraph" w:styleId="Standard" w:customStyle="1">
    <w:name w:val="Standard"/>
    <w:qFormat/>
    <w:rsid w:val="00c634cc"/>
    <w:pPr>
      <w:widowControl/>
      <w:suppressAutoHyphens w:val="true"/>
      <w:bidi w:val="0"/>
      <w:spacing w:lineRule="auto" w:line="252" w:before="0" w:after="160"/>
      <w:jc w:val="left"/>
      <w:textAlignment w:val="baseline"/>
    </w:pPr>
    <w:rPr>
      <w:rFonts w:ascii="Calibri" w:hAnsi="Calibri" w:eastAsia="SimSun" w:cs="F" w:asciiTheme="minorHAnsi" w:hAnsiTheme="minorHAnsi"/>
      <w:color w:val="auto"/>
      <w:kern w:val="2"/>
      <w:sz w:val="22"/>
      <w:szCs w:val="22"/>
      <w:lang w:val="pl-PL" w:eastAsia="en-US" w:bidi="ar-SA"/>
    </w:rPr>
  </w:style>
  <w:style w:type="paragraph" w:styleId="BalloonText">
    <w:name w:val="Balloon Text"/>
    <w:basedOn w:val="Normal"/>
    <w:link w:val="TekstdymkaZnak"/>
    <w:uiPriority w:val="99"/>
    <w:semiHidden/>
    <w:unhideWhenUsed/>
    <w:qFormat/>
    <w:rsid w:val="00c873f5"/>
    <w:pPr>
      <w:spacing w:lineRule="auto" w:line="240" w:before="0" w:after="0"/>
    </w:pPr>
    <w:rPr>
      <w:rFonts w:ascii="Segoe UI" w:hAnsi="Segoe UI" w:eastAsia="Times New Roman" w:cs="Segoe UI"/>
      <w:sz w:val="18"/>
      <w:szCs w:val="18"/>
      <w:lang w:eastAsia="pl-PL"/>
    </w:rPr>
  </w:style>
  <w:style w:type="paragraph" w:styleId="S3numeracja" w:customStyle="1">
    <w:name w:val="S3-numeracja"/>
    <w:basedOn w:val="Normal"/>
    <w:link w:val="S3-numeracjaZnak"/>
    <w:autoRedefine/>
    <w:semiHidden/>
    <w:qFormat/>
    <w:rsid w:val="00a476bd"/>
    <w:pPr>
      <w:spacing w:lineRule="auto" w:line="300" w:before="0" w:after="120"/>
      <w:ind w:left="360" w:hanging="0"/>
      <w:jc w:val="both"/>
    </w:pPr>
    <w:rPr>
      <w:rFonts w:ascii="Calibri" w:hAnsi="Calibri" w:cs="" w:cstheme="minorBidi"/>
    </w:rPr>
  </w:style>
  <w:style w:type="paragraph" w:styleId="TOCHeading">
    <w:name w:val="TOC Heading"/>
    <w:basedOn w:val="Nagwek1"/>
    <w:next w:val="Normal"/>
    <w:uiPriority w:val="39"/>
    <w:unhideWhenUsed/>
    <w:qFormat/>
    <w:rsid w:val="00a476bd"/>
    <w:pPr>
      <w:numPr>
        <w:ilvl w:val="0"/>
        <w:numId w:val="0"/>
      </w:numPr>
      <w:spacing w:lineRule="auto" w:line="259" w:before="240" w:after="0"/>
    </w:pPr>
    <w:rPr>
      <w:rFonts w:ascii="Calibri Light" w:hAnsi="Calibri Light" w:eastAsia="" w:cs="" w:asciiTheme="majorHAnsi" w:cstheme="majorBidi" w:eastAsiaTheme="majorEastAsia" w:hAnsiTheme="majorHAnsi"/>
      <w:b w:val="false"/>
      <w:bCs w:val="false"/>
      <w:color w:val="2F5496" w:themeColor="accent1" w:themeShade="bf"/>
      <w:kern w:val="0"/>
      <w:szCs w:val="32"/>
    </w:rPr>
  </w:style>
  <w:style w:type="paragraph" w:styleId="Spistreci1">
    <w:name w:val="TOC 1"/>
    <w:basedOn w:val="Normal"/>
    <w:next w:val="Normal"/>
    <w:autoRedefine/>
    <w:uiPriority w:val="39"/>
    <w:unhideWhenUsed/>
    <w:rsid w:val="00a476bd"/>
    <w:pPr>
      <w:spacing w:before="0" w:after="100"/>
    </w:pPr>
    <w:rPr/>
  </w:style>
  <w:style w:type="paragraph" w:styleId="Spistreci2">
    <w:name w:val="TOC 2"/>
    <w:basedOn w:val="Normal"/>
    <w:next w:val="Normal"/>
    <w:autoRedefine/>
    <w:uiPriority w:val="39"/>
    <w:unhideWhenUsed/>
    <w:rsid w:val="00a476bd"/>
    <w:pPr>
      <w:spacing w:before="0" w:after="100"/>
      <w:ind w:left="220" w:hanging="0"/>
    </w:pPr>
    <w:rPr/>
  </w:style>
  <w:style w:type="numbering" w:styleId="NoList" w:default="1">
    <w:name w:val="No List"/>
    <w:uiPriority w:val="99"/>
    <w:semiHidden/>
    <w:unhideWhenUsed/>
    <w:qFormat/>
  </w:style>
  <w:style w:type="numbering" w:styleId="Bezlisty1" w:customStyle="1">
    <w:name w:val="Bez listy1"/>
    <w:uiPriority w:val="99"/>
    <w:semiHidden/>
    <w:unhideWhenUsed/>
    <w:qFormat/>
    <w:rsid w:val="00c873f5"/>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cpubenchmark.net/cpu_list.php" TargetMode="External"/><Relationship Id="rId3" Type="http://schemas.openxmlformats.org/officeDocument/2006/relationships/hyperlink" Target="http://www.videocardbenchmark.net/gpu_list.php" TargetMode="External"/><Relationship Id="rId4" Type="http://schemas.openxmlformats.org/officeDocument/2006/relationships/hyperlink" Target="https://www.cpubenchmark.net/cpu_list.php"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4E6BC-4CB8-4FF5-A11F-DC75F14A6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LibreOffice/6.4.3.2$Windows_X86_64 LibreOffice_project/747b5d0ebf89f41c860ec2a39efd7cb15b54f2d8</Application>
  <Pages>18</Pages>
  <Words>10233</Words>
  <Characters>68645</Characters>
  <CharactersWithSpaces>77825</CharactersWithSpaces>
  <Paragraphs>1245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2020-07-30T07:15:00Z</dcterms:created>
  <dc:creator>Biuro</dc:creator>
  <dc:description/>
  <dc:language>pl-PL</dc:language>
  <cp:lastModifiedBy>Biuro</cp:lastModifiedBy>
  <dcterms:modified xsi:type="dcterms:W3CDTF">2020-07-30T10:35:00Z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