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02A9EA4B"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8C3BFE">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4F6F0A9C" w14:textId="77777777" w:rsidR="002C2E98" w:rsidRPr="0068649F" w:rsidRDefault="002C2E98" w:rsidP="002C2E98">
      <w:pPr>
        <w:pStyle w:val="Akapitzlist"/>
        <w:numPr>
          <w:ilvl w:val="0"/>
          <w:numId w:val="33"/>
        </w:numPr>
        <w:spacing w:after="160" w:line="259" w:lineRule="auto"/>
        <w:rPr>
          <w:rFonts w:asciiTheme="minorHAnsi" w:hAnsiTheme="minorHAnsi" w:cstheme="minorHAnsi"/>
        </w:rPr>
      </w:pPr>
      <w:r w:rsidRPr="0068649F">
        <w:rPr>
          <w:rFonts w:asciiTheme="minorHAnsi" w:hAnsiTheme="minorHAnsi" w:cstheme="minorHAnsi"/>
          <w:b/>
          <w:bCs/>
        </w:rPr>
        <w:t>Podnośnik podłogowy elektryczny</w:t>
      </w:r>
      <w:r>
        <w:rPr>
          <w:rFonts w:asciiTheme="minorHAnsi" w:hAnsiTheme="minorHAnsi" w:cstheme="minorHAnsi"/>
        </w:rPr>
        <w:t xml:space="preserve"> </w:t>
      </w:r>
      <w:r w:rsidRPr="00BB15DC">
        <w:rPr>
          <w:rFonts w:asciiTheme="minorHAnsi" w:hAnsiTheme="minorHAnsi" w:cstheme="minorHAnsi"/>
          <w:b/>
          <w:bCs/>
        </w:rPr>
        <w:t>– 2 szt.</w:t>
      </w:r>
    </w:p>
    <w:p w14:paraId="71F6EBCB" w14:textId="77777777" w:rsidR="002C2E98" w:rsidRPr="0068649F" w:rsidRDefault="002C2E98" w:rsidP="002C2E98">
      <w:pPr>
        <w:pStyle w:val="Akapitzlist"/>
        <w:rPr>
          <w:rFonts w:asciiTheme="minorHAnsi" w:hAnsiTheme="minorHAnsi" w:cstheme="minorHAnsi"/>
        </w:rPr>
      </w:pPr>
      <w:r w:rsidRPr="0068649F">
        <w:rPr>
          <w:rFonts w:asciiTheme="minorHAnsi" w:hAnsiTheme="minorHAnsi" w:cstheme="minorHAnsi"/>
        </w:rPr>
        <w:t>Urządzenie techniczne służące do podnoszenia pacjenta z pozycji siedzącej – z wózka inwalidzkiego, krzesła – jak również z pozycji leżącej – z leżanki, czy z podłogi). Dane techniczne:</w:t>
      </w:r>
    </w:p>
    <w:p w14:paraId="28C0C4E2" w14:textId="77777777" w:rsidR="002C2E98" w:rsidRPr="0068649F" w:rsidRDefault="002C2E98" w:rsidP="002C2E98">
      <w:pPr>
        <w:pStyle w:val="Akapitzlist"/>
        <w:numPr>
          <w:ilvl w:val="0"/>
          <w:numId w:val="35"/>
        </w:numPr>
        <w:rPr>
          <w:rFonts w:asciiTheme="minorHAnsi" w:hAnsiTheme="minorHAnsi" w:cstheme="minorHAnsi"/>
        </w:rPr>
      </w:pPr>
      <w:r>
        <w:rPr>
          <w:rFonts w:asciiTheme="minorHAnsi" w:hAnsiTheme="minorHAnsi" w:cstheme="minorHAnsi"/>
        </w:rPr>
        <w:t>o</w:t>
      </w:r>
      <w:r w:rsidRPr="0068649F">
        <w:rPr>
          <w:rFonts w:asciiTheme="minorHAnsi" w:hAnsiTheme="minorHAnsi" w:cstheme="minorHAnsi"/>
        </w:rPr>
        <w:t>bciążenie</w:t>
      </w:r>
      <w:r>
        <w:rPr>
          <w:rFonts w:asciiTheme="minorHAnsi" w:hAnsiTheme="minorHAnsi" w:cstheme="minorHAnsi"/>
        </w:rPr>
        <w:t xml:space="preserve"> (pacjent o wadze)</w:t>
      </w:r>
      <w:r w:rsidRPr="0068649F">
        <w:rPr>
          <w:rFonts w:asciiTheme="minorHAnsi" w:hAnsiTheme="minorHAnsi" w:cstheme="minorHAnsi"/>
        </w:rPr>
        <w:t xml:space="preserve"> </w:t>
      </w:r>
      <w:r>
        <w:rPr>
          <w:rFonts w:asciiTheme="minorHAnsi" w:hAnsiTheme="minorHAnsi" w:cstheme="minorHAnsi"/>
        </w:rPr>
        <w:t xml:space="preserve">do </w:t>
      </w:r>
      <w:r w:rsidRPr="0068649F">
        <w:rPr>
          <w:rFonts w:asciiTheme="minorHAnsi" w:hAnsiTheme="minorHAnsi" w:cstheme="minorHAnsi"/>
        </w:rPr>
        <w:t>1</w:t>
      </w:r>
      <w:r>
        <w:rPr>
          <w:rFonts w:asciiTheme="minorHAnsi" w:hAnsiTheme="minorHAnsi" w:cstheme="minorHAnsi"/>
        </w:rPr>
        <w:t>6</w:t>
      </w:r>
      <w:r w:rsidRPr="0068649F">
        <w:rPr>
          <w:rFonts w:asciiTheme="minorHAnsi" w:hAnsiTheme="minorHAnsi" w:cstheme="minorHAnsi"/>
        </w:rPr>
        <w:t>0 kg;</w:t>
      </w:r>
    </w:p>
    <w:p w14:paraId="064DC894" w14:textId="77777777" w:rsidR="002C2E98" w:rsidRPr="00561730" w:rsidRDefault="002C2E98" w:rsidP="002C2E98">
      <w:pPr>
        <w:pStyle w:val="Akapitzlist"/>
        <w:numPr>
          <w:ilvl w:val="0"/>
          <w:numId w:val="35"/>
        </w:numPr>
        <w:ind w:right="-138"/>
        <w:rPr>
          <w:sz w:val="20"/>
          <w:szCs w:val="23"/>
        </w:rPr>
      </w:pPr>
      <w:r>
        <w:rPr>
          <w:rFonts w:asciiTheme="minorHAnsi" w:hAnsiTheme="minorHAnsi" w:cstheme="minorHAnsi"/>
        </w:rPr>
        <w:t xml:space="preserve">zakres regulacji wysokości ramienia: </w:t>
      </w:r>
      <w:r w:rsidRPr="00561730">
        <w:rPr>
          <w:sz w:val="20"/>
          <w:szCs w:val="23"/>
        </w:rPr>
        <w:t>od 76,6 do 184 cm (</w:t>
      </w:r>
      <w:r>
        <w:rPr>
          <w:sz w:val="20"/>
          <w:szCs w:val="23"/>
        </w:rPr>
        <w:t xml:space="preserve">z możliwością </w:t>
      </w:r>
      <w:r w:rsidRPr="00561730">
        <w:rPr>
          <w:sz w:val="20"/>
          <w:szCs w:val="23"/>
        </w:rPr>
        <w:t>podnoszeni</w:t>
      </w:r>
      <w:r>
        <w:rPr>
          <w:sz w:val="20"/>
          <w:szCs w:val="23"/>
        </w:rPr>
        <w:t>a pacjenta</w:t>
      </w:r>
      <w:r w:rsidRPr="00561730">
        <w:rPr>
          <w:sz w:val="20"/>
          <w:szCs w:val="23"/>
        </w:rPr>
        <w:t xml:space="preserve"> również z podłogi)</w:t>
      </w:r>
      <w:r>
        <w:rPr>
          <w:sz w:val="20"/>
          <w:szCs w:val="23"/>
        </w:rPr>
        <w:t>;</w:t>
      </w:r>
    </w:p>
    <w:p w14:paraId="71148B43" w14:textId="77777777" w:rsidR="002C2E98" w:rsidRDefault="002C2E98" w:rsidP="002C2E98">
      <w:pPr>
        <w:pStyle w:val="Akapitzlist"/>
        <w:numPr>
          <w:ilvl w:val="0"/>
          <w:numId w:val="35"/>
        </w:numPr>
        <w:rPr>
          <w:rFonts w:asciiTheme="minorHAnsi" w:hAnsiTheme="minorHAnsi" w:cstheme="minorHAnsi"/>
        </w:rPr>
      </w:pPr>
      <w:r>
        <w:rPr>
          <w:rFonts w:asciiTheme="minorHAnsi" w:hAnsiTheme="minorHAnsi" w:cstheme="minorHAnsi"/>
        </w:rPr>
        <w:t>długość podstawy do 129 cm;</w:t>
      </w:r>
    </w:p>
    <w:p w14:paraId="3C2F7DB4" w14:textId="77777777" w:rsidR="002C2E98" w:rsidRDefault="002C2E98" w:rsidP="002C2E98">
      <w:pPr>
        <w:pStyle w:val="Akapitzlist"/>
        <w:numPr>
          <w:ilvl w:val="0"/>
          <w:numId w:val="35"/>
        </w:numPr>
        <w:rPr>
          <w:rFonts w:asciiTheme="minorHAnsi" w:hAnsiTheme="minorHAnsi" w:cstheme="minorHAnsi"/>
        </w:rPr>
      </w:pPr>
      <w:r>
        <w:rPr>
          <w:rFonts w:asciiTheme="minorHAnsi" w:hAnsiTheme="minorHAnsi" w:cstheme="minorHAnsi"/>
        </w:rPr>
        <w:t>dystans pomiędzy nogami podstawy od 68 cm do 122,5 cm;</w:t>
      </w:r>
    </w:p>
    <w:p w14:paraId="04F63FAE" w14:textId="77777777" w:rsidR="002C2E98" w:rsidRPr="004A1E40" w:rsidRDefault="002C2E98" w:rsidP="002C2E98">
      <w:pPr>
        <w:pStyle w:val="Akapitzlist"/>
        <w:numPr>
          <w:ilvl w:val="0"/>
          <w:numId w:val="35"/>
        </w:numPr>
        <w:rPr>
          <w:rFonts w:asciiTheme="minorHAnsi" w:hAnsiTheme="minorHAnsi" w:cstheme="minorHAnsi"/>
        </w:rPr>
      </w:pPr>
      <w:r>
        <w:rPr>
          <w:rFonts w:asciiTheme="minorHAnsi" w:hAnsiTheme="minorHAnsi" w:cstheme="minorHAnsi"/>
        </w:rPr>
        <w:t>r</w:t>
      </w:r>
      <w:r w:rsidRPr="004A1E40">
        <w:rPr>
          <w:rFonts w:asciiTheme="minorHAnsi" w:hAnsiTheme="minorHAnsi" w:cstheme="minorHAnsi"/>
        </w:rPr>
        <w:t>uchoma rama jezdna z możliwością płynnej regulacji rozstawu;</w:t>
      </w:r>
    </w:p>
    <w:p w14:paraId="75F5AF27" w14:textId="77777777" w:rsidR="002C2E98" w:rsidRPr="0068649F" w:rsidRDefault="002C2E98" w:rsidP="002C2E98">
      <w:pPr>
        <w:pStyle w:val="Akapitzlist"/>
        <w:numPr>
          <w:ilvl w:val="0"/>
          <w:numId w:val="35"/>
        </w:numPr>
        <w:rPr>
          <w:rFonts w:asciiTheme="minorHAnsi" w:hAnsiTheme="minorHAnsi" w:cstheme="minorHAnsi"/>
        </w:rPr>
      </w:pPr>
      <w:r>
        <w:rPr>
          <w:rFonts w:asciiTheme="minorHAnsi" w:hAnsiTheme="minorHAnsi" w:cstheme="minorHAnsi"/>
        </w:rPr>
        <w:t>w</w:t>
      </w:r>
      <w:r w:rsidRPr="0068649F">
        <w:rPr>
          <w:rFonts w:asciiTheme="minorHAnsi" w:hAnsiTheme="minorHAnsi" w:cstheme="minorHAnsi"/>
        </w:rPr>
        <w:t>yposaż</w:t>
      </w:r>
      <w:r>
        <w:rPr>
          <w:rFonts w:asciiTheme="minorHAnsi" w:hAnsiTheme="minorHAnsi" w:cstheme="minorHAnsi"/>
        </w:rPr>
        <w:t>o</w:t>
      </w:r>
      <w:r w:rsidRPr="0068649F">
        <w:rPr>
          <w:rFonts w:asciiTheme="minorHAnsi" w:hAnsiTheme="minorHAnsi" w:cstheme="minorHAnsi"/>
        </w:rPr>
        <w:t>n</w:t>
      </w:r>
      <w:r>
        <w:rPr>
          <w:rFonts w:asciiTheme="minorHAnsi" w:hAnsiTheme="minorHAnsi" w:cstheme="minorHAnsi"/>
        </w:rPr>
        <w:t>y</w:t>
      </w:r>
      <w:r w:rsidRPr="0068649F">
        <w:rPr>
          <w:rFonts w:asciiTheme="minorHAnsi" w:hAnsiTheme="minorHAnsi" w:cstheme="minorHAnsi"/>
        </w:rPr>
        <w:t xml:space="preserve"> w k</w:t>
      </w:r>
      <w:r>
        <w:rPr>
          <w:rFonts w:asciiTheme="minorHAnsi" w:hAnsiTheme="minorHAnsi" w:cstheme="minorHAnsi"/>
        </w:rPr>
        <w:t>o</w:t>
      </w:r>
      <w:r w:rsidRPr="0068649F">
        <w:rPr>
          <w:rFonts w:asciiTheme="minorHAnsi" w:hAnsiTheme="minorHAnsi" w:cstheme="minorHAnsi"/>
        </w:rPr>
        <w:t>ła z blokadą;</w:t>
      </w:r>
    </w:p>
    <w:p w14:paraId="6D4D6D2B" w14:textId="77777777" w:rsidR="002C2E98" w:rsidRPr="0068649F" w:rsidRDefault="002C2E98" w:rsidP="002C2E98">
      <w:pPr>
        <w:pStyle w:val="Akapitzlist"/>
        <w:numPr>
          <w:ilvl w:val="0"/>
          <w:numId w:val="35"/>
        </w:numPr>
        <w:rPr>
          <w:rFonts w:asciiTheme="minorHAnsi" w:hAnsiTheme="minorHAnsi" w:cstheme="minorHAnsi"/>
        </w:rPr>
      </w:pPr>
      <w:r>
        <w:rPr>
          <w:rFonts w:asciiTheme="minorHAnsi" w:hAnsiTheme="minorHAnsi" w:cstheme="minorHAnsi"/>
        </w:rPr>
        <w:t>m</w:t>
      </w:r>
      <w:r w:rsidRPr="0068649F">
        <w:rPr>
          <w:rFonts w:asciiTheme="minorHAnsi" w:hAnsiTheme="minorHAnsi" w:cstheme="minorHAnsi"/>
        </w:rPr>
        <w:t>ożliwość zmiany rozstawienia ramion jezdnych;</w:t>
      </w:r>
    </w:p>
    <w:p w14:paraId="4E61EA27" w14:textId="77777777" w:rsidR="002C2E98" w:rsidRPr="0068649F" w:rsidRDefault="002C2E98" w:rsidP="002C2E98">
      <w:pPr>
        <w:pStyle w:val="Akapitzlist"/>
        <w:numPr>
          <w:ilvl w:val="0"/>
          <w:numId w:val="35"/>
        </w:numPr>
        <w:rPr>
          <w:rFonts w:asciiTheme="minorHAnsi" w:hAnsiTheme="minorHAnsi" w:cstheme="minorHAnsi"/>
        </w:rPr>
      </w:pPr>
      <w:r w:rsidRPr="0068649F">
        <w:rPr>
          <w:rFonts w:asciiTheme="minorHAnsi" w:hAnsiTheme="minorHAnsi" w:cstheme="minorHAnsi"/>
        </w:rPr>
        <w:t>podnośnik wyposażony w siłowniki i system sterujący</w:t>
      </w:r>
      <w:r>
        <w:rPr>
          <w:rFonts w:asciiTheme="minorHAnsi" w:hAnsiTheme="minorHAnsi" w:cstheme="minorHAnsi"/>
        </w:rPr>
        <w:t xml:space="preserve">, </w:t>
      </w:r>
      <w:r w:rsidRPr="0068649F">
        <w:rPr>
          <w:rFonts w:asciiTheme="minorHAnsi" w:hAnsiTheme="minorHAnsi" w:cstheme="minorHAnsi"/>
        </w:rPr>
        <w:t>sterowane pilotem;</w:t>
      </w:r>
    </w:p>
    <w:p w14:paraId="1D60CACA" w14:textId="77777777" w:rsidR="002C2E98" w:rsidRPr="0068649F" w:rsidRDefault="002C2E98" w:rsidP="002C2E98">
      <w:pPr>
        <w:pStyle w:val="Akapitzlist"/>
        <w:numPr>
          <w:ilvl w:val="0"/>
          <w:numId w:val="35"/>
        </w:numPr>
        <w:rPr>
          <w:rFonts w:asciiTheme="minorHAnsi" w:hAnsiTheme="minorHAnsi" w:cstheme="minorHAnsi"/>
        </w:rPr>
      </w:pPr>
      <w:r w:rsidRPr="0068649F">
        <w:rPr>
          <w:rFonts w:asciiTheme="minorHAnsi" w:hAnsiTheme="minorHAnsi" w:cstheme="minorHAnsi"/>
        </w:rPr>
        <w:t>wyłącznik bezpieczeństwa (przycisk awaryjny);</w:t>
      </w:r>
    </w:p>
    <w:p w14:paraId="25505B16" w14:textId="77777777" w:rsidR="002C2E98" w:rsidRPr="00730164" w:rsidRDefault="002C2E98" w:rsidP="002C2E98">
      <w:pPr>
        <w:pStyle w:val="Akapitzlist"/>
        <w:numPr>
          <w:ilvl w:val="0"/>
          <w:numId w:val="35"/>
        </w:numPr>
        <w:rPr>
          <w:rFonts w:asciiTheme="minorHAnsi" w:hAnsiTheme="minorHAnsi" w:cstheme="minorHAnsi"/>
        </w:rPr>
      </w:pPr>
      <w:r>
        <w:rPr>
          <w:rFonts w:asciiTheme="minorHAnsi" w:hAnsiTheme="minorHAnsi" w:cstheme="minorHAnsi"/>
        </w:rPr>
        <w:t xml:space="preserve">do 40 podniesień na jedno </w:t>
      </w:r>
      <w:r w:rsidRPr="0068649F">
        <w:rPr>
          <w:rFonts w:asciiTheme="minorHAnsi" w:hAnsiTheme="minorHAnsi" w:cstheme="minorHAnsi"/>
        </w:rPr>
        <w:t>ładowani</w:t>
      </w:r>
      <w:r>
        <w:rPr>
          <w:rFonts w:asciiTheme="minorHAnsi" w:hAnsiTheme="minorHAnsi" w:cstheme="minorHAnsi"/>
        </w:rPr>
        <w:t>e akumulatora</w:t>
      </w:r>
      <w:r w:rsidRPr="0068649F">
        <w:rPr>
          <w:rFonts w:asciiTheme="minorHAnsi" w:hAnsiTheme="minorHAnsi" w:cstheme="minorHAnsi"/>
        </w:rPr>
        <w:t>;</w:t>
      </w:r>
    </w:p>
    <w:p w14:paraId="16C31B35" w14:textId="77777777" w:rsidR="002C2E98" w:rsidRPr="0068649F" w:rsidRDefault="002C2E98" w:rsidP="002C2E98">
      <w:pPr>
        <w:pStyle w:val="Akapitzlist"/>
        <w:numPr>
          <w:ilvl w:val="0"/>
          <w:numId w:val="35"/>
        </w:numPr>
        <w:rPr>
          <w:rFonts w:asciiTheme="minorHAnsi" w:hAnsiTheme="minorHAnsi" w:cstheme="minorHAnsi"/>
        </w:rPr>
      </w:pPr>
      <w:r w:rsidRPr="0068649F">
        <w:rPr>
          <w:rFonts w:asciiTheme="minorHAnsi" w:hAnsiTheme="minorHAnsi" w:cstheme="minorHAnsi"/>
        </w:rPr>
        <w:t>łatwe i szybkie składanie urządzenia</w:t>
      </w:r>
      <w:r>
        <w:rPr>
          <w:rFonts w:asciiTheme="minorHAnsi" w:hAnsiTheme="minorHAnsi" w:cstheme="minorHAnsi"/>
        </w:rPr>
        <w:t>, bez potrzeby używania narzędzi</w:t>
      </w:r>
      <w:r w:rsidRPr="0068649F">
        <w:rPr>
          <w:rFonts w:asciiTheme="minorHAnsi" w:hAnsiTheme="minorHAnsi" w:cstheme="minorHAnsi"/>
        </w:rPr>
        <w:t>;</w:t>
      </w:r>
    </w:p>
    <w:p w14:paraId="55F78D47" w14:textId="77777777" w:rsidR="002C2E98" w:rsidRPr="0068649F" w:rsidRDefault="002C2E98" w:rsidP="002C2E98">
      <w:pPr>
        <w:pStyle w:val="Akapitzlist"/>
        <w:numPr>
          <w:ilvl w:val="0"/>
          <w:numId w:val="35"/>
        </w:numPr>
        <w:rPr>
          <w:rFonts w:asciiTheme="minorHAnsi" w:hAnsiTheme="minorHAnsi" w:cstheme="minorHAnsi"/>
        </w:rPr>
      </w:pPr>
      <w:r w:rsidRPr="0068649F">
        <w:rPr>
          <w:rFonts w:asciiTheme="minorHAnsi" w:hAnsiTheme="minorHAnsi" w:cstheme="minorHAnsi"/>
        </w:rPr>
        <w:t>trzy rodzaje nosideł pacjentów (Comfort, Regular, Hygienic);</w:t>
      </w:r>
    </w:p>
    <w:p w14:paraId="14F3D282" w14:textId="77777777" w:rsidR="002C2E98" w:rsidRPr="0068649F" w:rsidRDefault="002C2E98" w:rsidP="002C2E98">
      <w:pPr>
        <w:pStyle w:val="Akapitzlist"/>
        <w:numPr>
          <w:ilvl w:val="0"/>
          <w:numId w:val="35"/>
        </w:numPr>
        <w:rPr>
          <w:rFonts w:asciiTheme="minorHAnsi" w:hAnsiTheme="minorHAnsi" w:cstheme="minorHAnsi"/>
        </w:rPr>
      </w:pPr>
      <w:r w:rsidRPr="0068649F">
        <w:rPr>
          <w:rFonts w:asciiTheme="minorHAnsi" w:hAnsiTheme="minorHAnsi" w:cstheme="minorHAnsi"/>
        </w:rPr>
        <w:t>min 2 lata gwarancji;</w:t>
      </w:r>
    </w:p>
    <w:p w14:paraId="68DF8669" w14:textId="77777777" w:rsidR="002C2E98" w:rsidRPr="0068649F" w:rsidRDefault="002C2E98" w:rsidP="002C2E98">
      <w:pPr>
        <w:pStyle w:val="Akapitzlist"/>
        <w:numPr>
          <w:ilvl w:val="0"/>
          <w:numId w:val="35"/>
        </w:numPr>
        <w:rPr>
          <w:rFonts w:asciiTheme="minorHAnsi" w:hAnsiTheme="minorHAnsi" w:cstheme="minorHAnsi"/>
        </w:rPr>
      </w:pPr>
      <w:r w:rsidRPr="0068649F">
        <w:rPr>
          <w:rFonts w:asciiTheme="minorHAnsi" w:hAnsiTheme="minorHAnsi" w:cstheme="minorHAnsi"/>
        </w:rPr>
        <w:t>instrukcja w języku polskim.</w:t>
      </w:r>
    </w:p>
    <w:p w14:paraId="0661C68C" w14:textId="77777777" w:rsidR="00D45472" w:rsidRPr="0068649F" w:rsidRDefault="00D45472" w:rsidP="00D45472">
      <w:pPr>
        <w:pStyle w:val="Akapitzlist"/>
        <w:rPr>
          <w:rFonts w:asciiTheme="minorHAnsi" w:hAnsiTheme="minorHAnsi" w:cstheme="minorHAnsi"/>
        </w:rPr>
      </w:pPr>
    </w:p>
    <w:p w14:paraId="7065D177" w14:textId="45058AB3" w:rsidR="00401D98" w:rsidRPr="00296E8F" w:rsidRDefault="002C2E98" w:rsidP="00616E26">
      <w:pPr>
        <w:pStyle w:val="Akapitzlist"/>
        <w:numPr>
          <w:ilvl w:val="1"/>
          <w:numId w:val="1"/>
        </w:numPr>
        <w:spacing w:after="120"/>
        <w:ind w:left="425" w:hanging="431"/>
        <w:contextualSpacing w:val="0"/>
        <w:jc w:val="both"/>
        <w:rPr>
          <w:rFonts w:asciiTheme="minorHAnsi" w:hAnsiTheme="minorHAnsi"/>
          <w:b/>
        </w:rPr>
      </w:pPr>
      <w:r>
        <w:rPr>
          <w:rFonts w:asciiTheme="minorHAnsi" w:hAnsiTheme="minorHAnsi"/>
          <w:b/>
        </w:rPr>
        <w:lastRenderedPageBreak/>
        <w:t>Podnośniki podłogowe</w:t>
      </w:r>
      <w:r w:rsidR="00401D98" w:rsidRPr="00296E8F">
        <w:rPr>
          <w:rFonts w:asciiTheme="minorHAnsi" w:hAnsiTheme="minorHAnsi"/>
          <w:b/>
        </w:rPr>
        <w:t xml:space="preserve"> zaproponowane przez Wykonawcę równoważne</w:t>
      </w:r>
      <w:r w:rsidR="0068649F">
        <w:rPr>
          <w:rFonts w:asciiTheme="minorHAnsi" w:hAnsiTheme="minorHAnsi"/>
          <w:b/>
        </w:rPr>
        <w:t xml:space="preserve"> </w:t>
      </w:r>
      <w:r w:rsidR="00401D98" w:rsidRPr="00296E8F">
        <w:rPr>
          <w:rFonts w:asciiTheme="minorHAnsi" w:hAnsiTheme="minorHAnsi"/>
          <w:b/>
        </w:rPr>
        <w:t>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77777777" w:rsidR="00D42CF4" w:rsidRDefault="00D42CF4" w:rsidP="00D21462">
      <w:pPr>
        <w:pStyle w:val="Akapitzlist"/>
        <w:numPr>
          <w:ilvl w:val="0"/>
          <w:numId w:val="1"/>
        </w:numPr>
        <w:spacing w:after="120"/>
        <w:ind w:left="357" w:hanging="357"/>
        <w:contextualSpacing w:val="0"/>
        <w:rPr>
          <w:rFonts w:asciiTheme="minorHAnsi" w:hAnsiTheme="minorHAnsi"/>
          <w:b/>
          <w:color w:val="000000"/>
          <w:lang w:bidi="pl-PL"/>
        </w:rPr>
      </w:pPr>
      <w:r w:rsidRPr="00C9079E">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62DCE">
      <w:pPr>
        <w:pStyle w:val="Akapitzlist"/>
        <w:numPr>
          <w:ilvl w:val="0"/>
          <w:numId w:val="1"/>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lastRenderedPageBreak/>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2847F3">
      <w:pPr>
        <w:pStyle w:val="Akapitzlist"/>
        <w:numPr>
          <w:ilvl w:val="0"/>
          <w:numId w:val="1"/>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2123F544"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2C2E98">
        <w:rPr>
          <w:rFonts w:asciiTheme="minorHAnsi" w:hAnsiTheme="minorHAnsi"/>
          <w:color w:val="000000"/>
          <w:u w:val="single"/>
          <w:lang w:bidi="pl-PL"/>
        </w:rPr>
        <w:t>6</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lastRenderedPageBreak/>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lastRenderedPageBreak/>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79EE6140"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8C3BFE">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7F2BA291"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8C3BFE">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lastRenderedPageBreak/>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w:t>
      </w:r>
      <w:r w:rsidRPr="00C769A2">
        <w:rPr>
          <w:rFonts w:eastAsia="ITC Bookman Light"/>
          <w:bCs/>
          <w:szCs w:val="20"/>
          <w:lang w:eastAsia="pl-PL"/>
        </w:rPr>
        <w:lastRenderedPageBreak/>
        <w:t xml:space="preserve">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1D5A8" w14:textId="77777777" w:rsidR="00B21518" w:rsidRDefault="00B21518" w:rsidP="00881D25">
      <w:pPr>
        <w:spacing w:after="0" w:line="240" w:lineRule="auto"/>
      </w:pPr>
      <w:r>
        <w:separator/>
      </w:r>
    </w:p>
  </w:endnote>
  <w:endnote w:type="continuationSeparator" w:id="0">
    <w:p w14:paraId="122190D0" w14:textId="77777777" w:rsidR="00B21518" w:rsidRDefault="00B21518"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5FD4D" w14:textId="77777777" w:rsidR="00B21518" w:rsidRDefault="00B21518" w:rsidP="00881D25">
      <w:pPr>
        <w:spacing w:after="0" w:line="240" w:lineRule="auto"/>
      </w:pPr>
      <w:r>
        <w:separator/>
      </w:r>
    </w:p>
  </w:footnote>
  <w:footnote w:type="continuationSeparator" w:id="0">
    <w:p w14:paraId="3B8CB43F" w14:textId="77777777" w:rsidR="00B21518" w:rsidRDefault="00B21518"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A66292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6535"/>
    <w:rsid w:val="000B67D4"/>
    <w:rsid w:val="000C3F15"/>
    <w:rsid w:val="000C5D72"/>
    <w:rsid w:val="000C73A5"/>
    <w:rsid w:val="000C790A"/>
    <w:rsid w:val="000C7EEB"/>
    <w:rsid w:val="000D6F55"/>
    <w:rsid w:val="000D7400"/>
    <w:rsid w:val="000E5AE3"/>
    <w:rsid w:val="000F0B1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2E98"/>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4A20"/>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7A94"/>
    <w:rsid w:val="005879CA"/>
    <w:rsid w:val="00587D7E"/>
    <w:rsid w:val="005917C8"/>
    <w:rsid w:val="0059435B"/>
    <w:rsid w:val="005947BE"/>
    <w:rsid w:val="005948AB"/>
    <w:rsid w:val="00594A78"/>
    <w:rsid w:val="00596A78"/>
    <w:rsid w:val="005A5702"/>
    <w:rsid w:val="005B0A88"/>
    <w:rsid w:val="005B1F11"/>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3BFE"/>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1518"/>
    <w:rsid w:val="00B220FD"/>
    <w:rsid w:val="00B223E6"/>
    <w:rsid w:val="00B2364E"/>
    <w:rsid w:val="00B23AED"/>
    <w:rsid w:val="00B2770E"/>
    <w:rsid w:val="00B335D2"/>
    <w:rsid w:val="00B33FCE"/>
    <w:rsid w:val="00B3492A"/>
    <w:rsid w:val="00B3677D"/>
    <w:rsid w:val="00B37A73"/>
    <w:rsid w:val="00B5138A"/>
    <w:rsid w:val="00B527ED"/>
    <w:rsid w:val="00B66D30"/>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2643</Words>
  <Characters>15861</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3</cp:revision>
  <cp:lastPrinted>2021-01-20T15:45:00Z</cp:lastPrinted>
  <dcterms:created xsi:type="dcterms:W3CDTF">2021-11-18T13:28:00Z</dcterms:created>
  <dcterms:modified xsi:type="dcterms:W3CDTF">2021-11-22T11:25:00Z</dcterms:modified>
</cp:coreProperties>
</file>